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3.xml"/>
  <Override ContentType="application/vnd.ms-office.chartcolorstyle+xml" PartName="/word/charts/colors2.xml"/>
  <Override ContentType="application/vnd.ms-office.chartcolorstyle+xml" PartName="/word/charts/colors1.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3.xml"/>
  <Override ContentType="application/vnd.ms-office.chartstyle+xml" PartName="/word/charts/style2.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right="4"/>
        <w:jc w:val="center"/>
        <w:rPr>
          <w:color w:val="000000"/>
          <w:sz w:val="18"/>
          <w:szCs w:val="18"/>
        </w:rPr>
      </w:pPr>
      <w:r w:rsidDel="00000000" w:rsidR="00000000" w:rsidRPr="00000000">
        <w:rPr>
          <w:b w:val="1"/>
          <w:bCs w:val="1"/>
          <w:color w:val="000000"/>
          <w:sz w:val="28"/>
          <w:szCs w:val="28"/>
          <w:rtl w:val="0"/>
        </w:rPr>
        <w:t xml:space="preserve">Tinjauan Tipe </w:t>
      </w:r>
      <w:r w:rsidDel="00000000" w:rsidR="00000000" w:rsidRPr="00000000">
        <w:rPr>
          <w:b w:val="1"/>
          <w:bCs w:val="1"/>
          <w:i w:val="1"/>
          <w:iCs w:val="1"/>
          <w:color w:val="000000"/>
          <w:sz w:val="28"/>
          <w:szCs w:val="28"/>
          <w:rtl w:val="0"/>
        </w:rPr>
        <w:t xml:space="preserve">Safety Motivation</w:t>
      </w:r>
      <w:r w:rsidDel="00000000" w:rsidR="00000000" w:rsidRPr="00000000">
        <w:rPr>
          <w:b w:val="1"/>
          <w:bCs w:val="1"/>
          <w:color w:val="000000"/>
          <w:sz w:val="28"/>
          <w:szCs w:val="28"/>
          <w:rtl w:val="0"/>
        </w:rPr>
        <w:t xml:space="preserve"> pada Kru Kapal Operasional </w:t>
      </w:r>
      <w:r w:rsidDel="00000000" w:rsidR="00000000" w:rsidRPr="00000000">
        <w:rPr>
          <w:b w:val="1"/>
          <w:bCs w:val="1"/>
          <w:i w:val="1"/>
          <w:iCs w:val="1"/>
          <w:color w:val="000000"/>
          <w:sz w:val="28"/>
          <w:szCs w:val="28"/>
          <w:rtl w:val="0"/>
        </w:rPr>
        <w:t xml:space="preserve">Transshipment</w:t>
      </w:r>
      <w:r w:rsidDel="00000000" w:rsidR="00000000" w:rsidRPr="00000000">
        <w:rPr>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02">
      <w:pPr>
        <w:ind w:right="4"/>
        <w:jc w:val="center"/>
        <w:rPr>
          <w:b w:val="1"/>
          <w:bCs w:val="1"/>
          <w:sz w:val="24"/>
          <w:szCs w:val="24"/>
        </w:rPr>
      </w:pPr>
      <w:r w:rsidDel="00000000" w:rsidR="00000000" w:rsidRPr="00000000">
        <w:rPr>
          <w:rtl w:val="0"/>
        </w:rPr>
      </w:r>
    </w:p>
    <w:p w:rsidR="00000000" w:rsidDel="00000000" w:rsidP="00000000" w:rsidRDefault="00000000" w:rsidRPr="00000000" w14:paraId="00000003">
      <w:pPr>
        <w:ind w:right="4"/>
        <w:jc w:val="center"/>
        <w:rPr>
          <w:b w:val="1"/>
          <w:bCs w:val="1"/>
          <w:sz w:val="24"/>
          <w:szCs w:val="24"/>
        </w:rPr>
      </w:pPr>
      <w:r w:rsidDel="00000000" w:rsidR="00000000" w:rsidRPr="00000000">
        <w:rPr>
          <w:rtl w:val="0"/>
        </w:rPr>
      </w:r>
    </w:p>
    <w:p w:rsidR="00000000" w:rsidDel="00000000" w:rsidP="00000000" w:rsidRDefault="00000000" w:rsidRPr="00000000" w14:paraId="00000004">
      <w:pPr>
        <w:ind w:right="4"/>
        <w:jc w:val="center"/>
        <w:rPr>
          <w:sz w:val="24"/>
          <w:szCs w:val="24"/>
          <w:vertAlign w:val="superscript"/>
        </w:rPr>
      </w:pPr>
      <w:r w:rsidDel="00000000" w:rsidR="00000000" w:rsidRPr="00000000">
        <w:rPr>
          <w:b w:val="1"/>
          <w:bCs w:val="1"/>
          <w:sz w:val="24"/>
          <w:szCs w:val="24"/>
          <w:rtl w:val="0"/>
        </w:rPr>
        <w:t xml:space="preserve">Reggina Angel Arifin</w:t>
      </w:r>
      <w:r w:rsidDel="00000000" w:rsidR="00000000" w:rsidRPr="00000000">
        <w:rPr>
          <w:sz w:val="24"/>
          <w:szCs w:val="24"/>
          <w:vertAlign w:val="superscript"/>
          <w:rtl w:val="0"/>
        </w:rPr>
        <w:t xml:space="preserve">1</w:t>
      </w:r>
      <w:r w:rsidDel="00000000" w:rsidR="00000000" w:rsidRPr="00000000">
        <w:rPr>
          <w:b w:val="1"/>
          <w:bCs w:val="1"/>
          <w:sz w:val="24"/>
          <w:szCs w:val="24"/>
          <w:rtl w:val="0"/>
        </w:rPr>
        <w:t xml:space="preserve">, Wiediartini</w:t>
      </w:r>
      <w:r w:rsidDel="00000000" w:rsidR="00000000" w:rsidRPr="00000000">
        <w:rPr>
          <w:sz w:val="24"/>
          <w:szCs w:val="24"/>
          <w:vertAlign w:val="superscript"/>
          <w:rtl w:val="0"/>
        </w:rPr>
        <w:t xml:space="preserve">2</w:t>
      </w:r>
      <w:r w:rsidDel="00000000" w:rsidR="00000000" w:rsidRPr="00000000">
        <w:rPr>
          <w:b w:val="1"/>
          <w:bCs w:val="1"/>
          <w:sz w:val="24"/>
          <w:szCs w:val="24"/>
          <w:vertAlign w:val="superscript"/>
          <w:rtl w:val="0"/>
        </w:rPr>
        <w:t xml:space="preserve">*</w:t>
      </w:r>
      <w:r w:rsidDel="00000000" w:rsidR="00000000" w:rsidRPr="00000000">
        <w:rPr>
          <w:b w:val="1"/>
          <w:bCs w:val="1"/>
          <w:sz w:val="24"/>
          <w:szCs w:val="24"/>
          <w:rtl w:val="0"/>
        </w:rPr>
        <w:t xml:space="preserve"> dan Fitroh Resmi</w:t>
      </w:r>
      <w:r w:rsidDel="00000000" w:rsidR="00000000" w:rsidRPr="00000000">
        <w:rPr>
          <w:sz w:val="24"/>
          <w:szCs w:val="24"/>
          <w:vertAlign w:val="superscript"/>
          <w:rtl w:val="0"/>
        </w:rPr>
        <w:t xml:space="preserve">3 </w:t>
      </w:r>
    </w:p>
    <w:p w:rsidR="00000000" w:rsidDel="00000000" w:rsidP="00000000" w:rsidRDefault="00000000" w:rsidRPr="00000000" w14:paraId="00000005">
      <w:pPr>
        <w:spacing w:line="120" w:lineRule="auto"/>
        <w:ind w:right="4"/>
        <w:jc w:val="center"/>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2" w:lineRule="auto"/>
        <w:ind w:right="4"/>
        <w:jc w:val="center"/>
        <w:rPr>
          <w:color w:val="000000"/>
        </w:rPr>
      </w:pPr>
      <w:r w:rsidDel="00000000" w:rsidR="00000000" w:rsidRPr="00000000">
        <w:rPr>
          <w:color w:val="000000"/>
          <w:vertAlign w:val="superscript"/>
          <w:rtl w:val="0"/>
        </w:rPr>
        <w:t xml:space="preserve">1,2,3</w:t>
      </w:r>
      <w:r w:rsidDel="00000000" w:rsidR="00000000" w:rsidRPr="00000000">
        <w:rPr>
          <w:color w:val="000000"/>
          <w:rtl w:val="0"/>
        </w:rPr>
        <w:t xml:space="preserve">Program Studi Teknik Keselamatan dan Kesehatan Kerja, Jurusan Teknik Permesinan Kapal, Politeknik Perkapalan Negeri Surabaya, Surabaya 60111</w:t>
        <w:br w:type="textWrapping"/>
        <w:t xml:space="preserve">Program Studi Teknologi Rekayasa Konstruksi Perkapalan, Jurusan Teknik Bangunan Kapal, Politeknik Perkapalan Negeri Surabaya, Jl. Teknik Kimia, Kampus ITS Sukolilo, Surabaya 60111 </w:t>
      </w:r>
    </w:p>
    <w:p w:rsidR="00000000" w:rsidDel="00000000" w:rsidP="00000000" w:rsidRDefault="00000000" w:rsidRPr="00000000" w14:paraId="00000007">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08">
      <w:pPr>
        <w:ind w:right="4"/>
        <w:jc w:val="center"/>
        <w:rPr/>
      </w:pPr>
      <w:r w:rsidDel="00000000" w:rsidR="00000000" w:rsidRPr="00000000">
        <w:rPr>
          <w:b w:val="1"/>
          <w:bCs w:val="1"/>
          <w:vertAlign w:val="superscript"/>
          <w:rtl w:val="0"/>
        </w:rPr>
        <w:t xml:space="preserve">*</w:t>
      </w:r>
      <w:r w:rsidDel="00000000" w:rsidR="00000000" w:rsidRPr="00000000">
        <w:rPr>
          <w:i w:val="1"/>
          <w:iCs w:val="1"/>
          <w:rtl w:val="0"/>
        </w:rPr>
        <w:t xml:space="preserve">E-mail</w:t>
      </w:r>
      <w:r w:rsidDel="00000000" w:rsidR="00000000" w:rsidRPr="00000000">
        <w:rPr>
          <w:rtl w:val="0"/>
        </w:rPr>
        <w:t xml:space="preserve">: wiwid@ppns.ac.id</w:t>
      </w:r>
    </w:p>
    <w:p w:rsidR="00000000" w:rsidDel="00000000" w:rsidP="00000000" w:rsidRDefault="00000000" w:rsidRPr="00000000" w14:paraId="00000009">
      <w:pPr>
        <w:pBdr>
          <w:top w:space="0" w:sz="0" w:val="nil"/>
          <w:left w:space="0" w:sz="0" w:val="nil"/>
          <w:bottom w:space="0" w:sz="0" w:val="nil"/>
          <w:right w:space="0" w:sz="0" w:val="nil"/>
          <w:between w:space="0" w:sz="0" w:val="nil"/>
        </w:pBdr>
        <w:ind w:right="4"/>
        <w:rPr>
          <w:color w:val="000000"/>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0A">
      <w:pPr>
        <w:spacing w:after="200" w:lineRule="auto"/>
        <w:ind w:right="4"/>
        <w:jc w:val="center"/>
        <w:rPr>
          <w:color w:val="000000"/>
          <w:sz w:val="29"/>
          <w:szCs w:val="29"/>
        </w:rPr>
      </w:pPr>
      <w:r w:rsidDel="00000000" w:rsidR="00000000" w:rsidRPr="00000000">
        <w:rPr>
          <w:b w:val="1"/>
          <w:bCs w:val="1"/>
          <w:rtl w:val="0"/>
        </w:rPr>
        <w:t xml:space="preserve">Abstrak</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right="4"/>
        <w:jc w:val="both"/>
        <w:rPr>
          <w:color w:val="000000"/>
        </w:rPr>
      </w:pPr>
      <w:r w:rsidDel="00000000" w:rsidR="00000000" w:rsidRPr="00000000">
        <w:rPr>
          <w:color w:val="000000"/>
          <w:rtl w:val="0"/>
        </w:rPr>
        <w:t xml:space="preserve">PT XYZ menerapkan program gamifikasi </w:t>
      </w:r>
      <w:r w:rsidDel="00000000" w:rsidR="00000000" w:rsidRPr="00000000">
        <w:rPr>
          <w:i w:val="1"/>
          <w:iCs w:val="1"/>
          <w:color w:val="000000"/>
          <w:rtl w:val="0"/>
        </w:rPr>
        <w:t xml:space="preserve">safety rewards and punishments</w:t>
      </w:r>
      <w:r w:rsidDel="00000000" w:rsidR="00000000" w:rsidRPr="00000000">
        <w:rPr>
          <w:color w:val="000000"/>
          <w:rtl w:val="0"/>
        </w:rPr>
        <w:t xml:space="preserve"> (SRP) untuk mendorong pelaporan </w:t>
      </w:r>
      <w:r w:rsidDel="00000000" w:rsidR="00000000" w:rsidRPr="00000000">
        <w:rPr>
          <w:i w:val="1"/>
          <w:iCs w:val="1"/>
          <w:color w:val="000000"/>
          <w:rtl w:val="0"/>
        </w:rPr>
        <w:t xml:space="preserve">hazard</w:t>
      </w:r>
      <w:r w:rsidDel="00000000" w:rsidR="00000000" w:rsidRPr="00000000">
        <w:rPr>
          <w:color w:val="000000"/>
          <w:rtl w:val="0"/>
        </w:rPr>
        <w:t xml:space="preserve"> oleh kru kapal, namun implementasinya memunculkan kesenjangan yang nyata antara kuantitas dan kualitas pelaporan. Data menunjukkan dominasi pelaporan kondisi tidak aman (KTA) yang ekstrem, sementara pelaporan tindakan tidak aman (TTA) stagnan di angka yang rendah. Fenomena ini mengindikasikan bahwa dorongan motivasi eksternal belum cukup tangguh untuk membentuk perilaku aman yang konsisten tanpa adanya internalisasi nilai keselamatan di dalam diri pekerja, sebagaimana dijelaskan dalam kerangka </w:t>
      </w:r>
      <w:r w:rsidDel="00000000" w:rsidR="00000000" w:rsidRPr="00000000">
        <w:rPr>
          <w:i w:val="1"/>
          <w:iCs w:val="1"/>
          <w:color w:val="000000"/>
          <w:rtl w:val="0"/>
        </w:rPr>
        <w:t xml:space="preserve">Self-Determination Theory</w:t>
      </w:r>
      <w:r w:rsidDel="00000000" w:rsidR="00000000" w:rsidRPr="00000000">
        <w:rPr>
          <w:color w:val="000000"/>
          <w:rtl w:val="0"/>
        </w:rPr>
        <w:t xml:space="preserve"> (SDT). Oleh karena itu, penelitian ini bertujuan untuk mendeskripsikan profil </w:t>
      </w:r>
      <w:r w:rsidDel="00000000" w:rsidR="00000000" w:rsidRPr="00000000">
        <w:rPr>
          <w:i w:val="1"/>
          <w:iCs w:val="1"/>
          <w:color w:val="000000"/>
          <w:rtl w:val="0"/>
        </w:rPr>
        <w:t xml:space="preserve">safety motivation</w:t>
      </w:r>
      <w:r w:rsidDel="00000000" w:rsidR="00000000" w:rsidRPr="00000000">
        <w:rPr>
          <w:color w:val="000000"/>
          <w:rtl w:val="0"/>
        </w:rPr>
        <w:t xml:space="preserve"> kru kapal pada lima dimensinya (</w:t>
      </w:r>
      <w:r w:rsidDel="00000000" w:rsidR="00000000" w:rsidRPr="00000000">
        <w:rPr>
          <w:i w:val="1"/>
          <w:iCs w:val="1"/>
          <w:color w:val="000000"/>
          <w:rtl w:val="0"/>
        </w:rPr>
        <w:t xml:space="preserve">intrinsic, identified, introjected, external</w:t>
      </w:r>
      <w:r w:rsidDel="00000000" w:rsidR="00000000" w:rsidRPr="00000000">
        <w:rPr>
          <w:color w:val="000000"/>
          <w:rtl w:val="0"/>
        </w:rPr>
        <w:t xml:space="preserve">, dan </w:t>
      </w:r>
      <w:r w:rsidDel="00000000" w:rsidR="00000000" w:rsidRPr="00000000">
        <w:rPr>
          <w:i w:val="1"/>
          <w:iCs w:val="1"/>
          <w:color w:val="000000"/>
          <w:rtl w:val="0"/>
        </w:rPr>
        <w:t xml:space="preserve">amotivation</w:t>
      </w:r>
      <w:r w:rsidDel="00000000" w:rsidR="00000000" w:rsidRPr="00000000">
        <w:rPr>
          <w:color w:val="000000"/>
          <w:rtl w:val="0"/>
        </w:rPr>
        <w:t xml:space="preserve">). Penelitian ini dirancang sebagai studi deskriptif analitis menggunakan instrumen </w:t>
      </w:r>
      <w:r w:rsidDel="00000000" w:rsidR="00000000" w:rsidRPr="00000000">
        <w:rPr>
          <w:i w:val="1"/>
          <w:iCs w:val="1"/>
          <w:color w:val="000000"/>
          <w:rtl w:val="0"/>
        </w:rPr>
        <w:t xml:space="preserve">Self-Determined Safety Motivation</w:t>
      </w:r>
      <w:r w:rsidDel="00000000" w:rsidR="00000000" w:rsidRPr="00000000">
        <w:rPr>
          <w:color w:val="000000"/>
          <w:rtl w:val="0"/>
        </w:rPr>
        <w:t xml:space="preserve"> (SDSM) yang diadaptasi dari Fleming (2012). Data dikumpulkan dari 217 subjek kru kapal </w:t>
      </w:r>
      <w:r w:rsidDel="00000000" w:rsidR="00000000" w:rsidRPr="00000000">
        <w:rPr>
          <w:i w:val="1"/>
          <w:iCs w:val="1"/>
          <w:color w:val="000000"/>
          <w:rtl w:val="0"/>
        </w:rPr>
        <w:t xml:space="preserve">tugboat</w:t>
      </w:r>
      <w:r w:rsidDel="00000000" w:rsidR="00000000" w:rsidRPr="00000000">
        <w:rPr>
          <w:color w:val="000000"/>
          <w:rtl w:val="0"/>
        </w:rPr>
        <w:t xml:space="preserve"> dan </w:t>
      </w:r>
      <w:r w:rsidDel="00000000" w:rsidR="00000000" w:rsidRPr="00000000">
        <w:rPr>
          <w:i w:val="1"/>
          <w:iCs w:val="1"/>
          <w:color w:val="000000"/>
          <w:rtl w:val="0"/>
        </w:rPr>
        <w:t xml:space="preserve">floating crane</w:t>
      </w:r>
      <w:r w:rsidDel="00000000" w:rsidR="00000000" w:rsidRPr="00000000">
        <w:rPr>
          <w:color w:val="000000"/>
          <w:rtl w:val="0"/>
        </w:rPr>
        <w:t xml:space="preserve">. Pengujian validitas dan reliabilitas instrumen dilakukan menggunakan perangkat lunak SmartPLS, yang kemudian dilanjutkan dengan analisis deskriptif menggunakan Microsoft Excel untuk memetakan skor dominan per dimensi dan JASP untuk memvisualisasikan distribusi sebaran data melalui </w:t>
      </w:r>
      <w:r w:rsidDel="00000000" w:rsidR="00000000" w:rsidRPr="00000000">
        <w:rPr>
          <w:i w:val="1"/>
          <w:iCs w:val="1"/>
          <w:color w:val="000000"/>
          <w:rtl w:val="0"/>
        </w:rPr>
        <w:t xml:space="preserve">raincloud plot</w:t>
      </w:r>
      <w:r w:rsidDel="00000000" w:rsidR="00000000" w:rsidRPr="00000000">
        <w:rPr>
          <w:color w:val="000000"/>
          <w:rtl w:val="0"/>
        </w:rPr>
        <w:t xml:space="preserve">. Hasil penelitian menunjukkan bahwa kelompok motivasi otonom (</w:t>
      </w:r>
      <w:r w:rsidDel="00000000" w:rsidR="00000000" w:rsidRPr="00000000">
        <w:rPr>
          <w:i w:val="1"/>
          <w:iCs w:val="1"/>
          <w:color w:val="000000"/>
          <w:rtl w:val="0"/>
        </w:rPr>
        <w:t xml:space="preserve">autonomous motivation</w:t>
      </w:r>
      <w:r w:rsidDel="00000000" w:rsidR="00000000" w:rsidRPr="00000000">
        <w:rPr>
          <w:color w:val="000000"/>
          <w:rtl w:val="0"/>
        </w:rPr>
        <w:t xml:space="preserve">), yakni </w:t>
      </w:r>
      <w:r w:rsidDel="00000000" w:rsidR="00000000" w:rsidRPr="00000000">
        <w:rPr>
          <w:i w:val="1"/>
          <w:iCs w:val="1"/>
          <w:color w:val="000000"/>
          <w:rtl w:val="0"/>
        </w:rPr>
        <w:t xml:space="preserve">identified</w:t>
      </w:r>
      <w:r w:rsidDel="00000000" w:rsidR="00000000" w:rsidRPr="00000000">
        <w:rPr>
          <w:color w:val="000000"/>
          <w:rtl w:val="0"/>
        </w:rPr>
        <w:t xml:space="preserve"> dan </w:t>
      </w:r>
      <w:r w:rsidDel="00000000" w:rsidR="00000000" w:rsidRPr="00000000">
        <w:rPr>
          <w:i w:val="1"/>
          <w:iCs w:val="1"/>
          <w:color w:val="000000"/>
          <w:rtl w:val="0"/>
        </w:rPr>
        <w:t xml:space="preserve">intrinsic safety motivation</w:t>
      </w:r>
      <w:r w:rsidDel="00000000" w:rsidR="00000000" w:rsidRPr="00000000">
        <w:rPr>
          <w:color w:val="000000"/>
          <w:rtl w:val="0"/>
        </w:rPr>
        <w:t xml:space="preserve">, mencatatkan skor tertinggi yang konsisten antar individu. Sebaliknya, </w:t>
      </w:r>
      <w:r w:rsidDel="00000000" w:rsidR="00000000" w:rsidRPr="00000000">
        <w:rPr>
          <w:i w:val="1"/>
          <w:iCs w:val="1"/>
          <w:color w:val="000000"/>
          <w:rtl w:val="0"/>
        </w:rPr>
        <w:t xml:space="preserve">external safety motivation</w:t>
      </w:r>
      <w:r w:rsidDel="00000000" w:rsidR="00000000" w:rsidRPr="00000000">
        <w:rPr>
          <w:color w:val="000000"/>
          <w:rtl w:val="0"/>
        </w:rPr>
        <w:t xml:space="preserve"> menunjukkan tingkat rata-rata yang paling rendah dan paling bervariasi, sementara tingkat ketiadaan motivasi (</w:t>
      </w:r>
      <w:r w:rsidDel="00000000" w:rsidR="00000000" w:rsidRPr="00000000">
        <w:rPr>
          <w:i w:val="1"/>
          <w:iCs w:val="1"/>
          <w:color w:val="000000"/>
          <w:rtl w:val="0"/>
        </w:rPr>
        <w:t xml:space="preserve">amotivation</w:t>
      </w:r>
      <w:r w:rsidDel="00000000" w:rsidR="00000000" w:rsidRPr="00000000">
        <w:rPr>
          <w:color w:val="000000"/>
          <w:rtl w:val="0"/>
        </w:rPr>
        <w:t xml:space="preserve">) terkonfirmasi sangat rendah. Temuan ini menegaskan bahwa motivasi berbasis kontrol eksternal dari SRP cenderung fluktuatif, sehingga perusahaan direkomendasikan untuk mulai menggeser strategi dari sekadar pemberian insentif poin menuju program penguatan motivasi intrinsik pekerja.</w:t>
      </w:r>
    </w:p>
    <w:p w:rsidR="00000000" w:rsidDel="00000000" w:rsidP="00000000" w:rsidRDefault="00000000" w:rsidRPr="00000000" w14:paraId="0000000C">
      <w:pPr>
        <w:spacing w:after="240" w:before="116" w:lineRule="auto"/>
        <w:ind w:right="4"/>
        <w:jc w:val="both"/>
        <w:rPr/>
      </w:pPr>
      <w:r w:rsidDel="00000000" w:rsidR="00000000" w:rsidRPr="00000000">
        <w:rPr>
          <w:b w:val="1"/>
          <w:bCs w:val="1"/>
          <w:rtl w:val="0"/>
        </w:rPr>
        <w:t xml:space="preserve">Kata Kunci</w:t>
      </w:r>
      <w:r w:rsidDel="00000000" w:rsidR="00000000" w:rsidRPr="00000000">
        <w:rPr>
          <w:b w:val="1"/>
          <w:bCs w:val="1"/>
          <w:i w:val="1"/>
          <w:iCs w:val="1"/>
          <w:rtl w:val="0"/>
        </w:rPr>
        <w:t xml:space="preserve">: </w:t>
      </w:r>
      <w:r w:rsidDel="00000000" w:rsidR="00000000" w:rsidRPr="00000000">
        <w:rPr>
          <w:i w:val="1"/>
          <w:iCs w:val="1"/>
          <w:rtl w:val="0"/>
        </w:rPr>
        <w:t xml:space="preserve">Raincloud plot</w:t>
      </w:r>
      <w:r w:rsidDel="00000000" w:rsidR="00000000" w:rsidRPr="00000000">
        <w:rPr>
          <w:rtl w:val="0"/>
        </w:rPr>
        <w:t xml:space="preserve">, </w:t>
      </w:r>
      <w:r w:rsidDel="00000000" w:rsidR="00000000" w:rsidRPr="00000000">
        <w:rPr>
          <w:i w:val="1"/>
          <w:iCs w:val="1"/>
          <w:rtl w:val="0"/>
        </w:rPr>
        <w:t xml:space="preserve">Self-Determination Theory</w:t>
      </w:r>
      <w:r w:rsidDel="00000000" w:rsidR="00000000" w:rsidRPr="00000000">
        <w:rPr>
          <w:rtl w:val="0"/>
        </w:rPr>
        <w:t xml:space="preserve">, Motivasi Keselamatan, </w:t>
      </w:r>
      <w:r w:rsidDel="00000000" w:rsidR="00000000" w:rsidRPr="00000000">
        <w:rPr>
          <w:i w:val="1"/>
          <w:iCs w:val="1"/>
          <w:rtl w:val="0"/>
        </w:rPr>
        <w:t xml:space="preserve">Transshipment</w:t>
      </w:r>
      <w:r w:rsidDel="00000000" w:rsidR="00000000" w:rsidRPr="00000000">
        <w:rPr>
          <w:rtl w:val="0"/>
        </w:rPr>
        <w:t xml:space="preserve">, Kru Kapal, Gamifikasi Keselamatan.</w:t>
      </w:r>
    </w:p>
    <w:p w:rsidR="00000000" w:rsidDel="00000000" w:rsidP="00000000" w:rsidRDefault="00000000" w:rsidRPr="00000000" w14:paraId="0000000D">
      <w:pPr>
        <w:spacing w:before="116" w:lineRule="auto"/>
        <w:ind w:right="4"/>
        <w:jc w:val="center"/>
        <w:rPr/>
      </w:pPr>
      <w:r w:rsidDel="00000000" w:rsidR="00000000" w:rsidRPr="00000000">
        <w:rPr>
          <w:b w:val="1"/>
          <w:bCs w:val="1"/>
          <w:rtl w:val="0"/>
        </w:rPr>
        <w:t xml:space="preserve">Abstract </w:t>
      </w:r>
      <w:r w:rsidDel="00000000" w:rsidR="00000000" w:rsidRPr="00000000">
        <w:rPr>
          <w:rtl w:val="0"/>
        </w:rPr>
      </w:r>
    </w:p>
    <w:p w:rsidR="00000000" w:rsidDel="00000000" w:rsidP="00000000" w:rsidRDefault="00000000" w:rsidRPr="00000000" w14:paraId="0000000E">
      <w:pPr>
        <w:spacing w:before="116" w:lineRule="auto"/>
        <w:ind w:right="4"/>
        <w:jc w:val="both"/>
        <w:rPr>
          <w:i w:val="1"/>
          <w:iCs w:val="1"/>
        </w:rPr>
      </w:pPr>
      <w:r w:rsidDel="00000000" w:rsidR="00000000" w:rsidRPr="00000000">
        <w:rPr>
          <w:rtl w:val="0"/>
        </w:rPr>
        <w:t xml:space="preserve">PT XYZ </w:t>
      </w:r>
      <w:r w:rsidDel="00000000" w:rsidR="00000000" w:rsidRPr="00000000">
        <w:rPr>
          <w:i w:val="1"/>
          <w:iCs w:val="1"/>
          <w:rtl w:val="0"/>
        </w:rPr>
        <w:t xml:space="preserve">implemented a safety rewards and punishments (SRP) gamification program to encourage hazard reporting by ship crews, yet its implementation revealed a significant gap between the quantity and quality of reports. Data demonstrated an extreme dominance of unsafe condition reporting, while unsafe act reporting remained stagnant at a low rate. This phenomenon indicates that external motivation is insufficient to form consistent safety behaviors without the internalization of safety values, as elucidated by the Self-Determination Theory (SDT). Therefore, this study aims to describe the profile of ship crews' Safety Motivation across its five dimensions (intrinsic, identified, introjected, external, and a motivation). This research was designed as a descriptive analytical study using the Self-Determined Safety Motivation (SDSM) instrument adapted from Fleming (2012). Data were collected from 217 respondents comprising tugboat and floating crane crews. Instrument validity and reliability were tested using SmartPLS software, followed by descriptive analysis using Microsoft Excel to map dominant scores per dimension and JASP to visualize data distribution through raincloud plots. The results showed that the autonomous motivation group, namely identified and intrinsic safety motivation, recorded the highest and most consistent scores among individuals. Conversely, external safety motivation showed the lowest average level and the highest variance, while the level of amotivation was confirmed to be profoundly low. These findings highlight that compliance based on the external control of SRP tends to fluctuate, leading to the recommendation that companies should shift their strategy from merely providing point incentives to programs that strengthen workers' intrinsic motivation.</w:t>
      </w:r>
    </w:p>
    <w:p w:rsidR="00000000" w:rsidDel="00000000" w:rsidP="00000000" w:rsidRDefault="00000000" w:rsidRPr="00000000" w14:paraId="0000000F">
      <w:pPr>
        <w:spacing w:before="116" w:lineRule="auto"/>
        <w:ind w:right="4"/>
        <w:jc w:val="both"/>
        <w:rPr>
          <w:i w:val="1"/>
          <w:iCs w:val="1"/>
        </w:rPr>
      </w:pPr>
      <w:r w:rsidDel="00000000" w:rsidR="00000000" w:rsidRPr="00000000">
        <w:rPr>
          <w:b w:val="1"/>
          <w:bCs w:val="1"/>
          <w:i w:val="1"/>
          <w:iCs w:val="1"/>
          <w:rtl w:val="0"/>
        </w:rPr>
        <w:t xml:space="preserve">Keywords</w:t>
      </w:r>
      <w:r w:rsidDel="00000000" w:rsidR="00000000" w:rsidRPr="00000000">
        <w:rPr>
          <w:i w:val="1"/>
          <w:iCs w:val="1"/>
          <w:rtl w:val="0"/>
        </w:rPr>
        <w:t xml:space="preserve">: Raincloud plot, Self-Determination Theory, Safety Motivation, Transshipment, Ship Crew, Safety Gamification</w:t>
      </w:r>
    </w:p>
    <w:p w:rsidR="00000000" w:rsidDel="00000000" w:rsidP="00000000" w:rsidRDefault="00000000" w:rsidRPr="00000000" w14:paraId="00000010">
      <w:pPr>
        <w:ind w:right="4"/>
        <w:jc w:val="both"/>
        <w:rPr/>
      </w:pPr>
      <w:r w:rsidDel="00000000" w:rsidR="00000000" w:rsidRPr="00000000">
        <w:rPr>
          <w:rtl w:val="0"/>
        </w:rPr>
      </w:r>
    </w:p>
    <w:p w:rsidR="00000000" w:rsidDel="00000000" w:rsidP="00000000" w:rsidRDefault="00000000" w:rsidRPr="00000000" w14:paraId="00000011">
      <w:pPr>
        <w:ind w:right="4"/>
        <w:jc w:val="both"/>
        <w:rPr/>
      </w:pP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rtl w:val="0"/>
        </w:rPr>
        <w:t xml:space="preserve">PENDAHULUAN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21" w:lineRule="auto"/>
        <w:ind w:right="4" w:firstLine="720"/>
        <w:jc w:val="both"/>
        <w:rPr>
          <w:color w:val="000000"/>
        </w:rPr>
      </w:pPr>
      <w:r w:rsidDel="00000000" w:rsidR="00000000" w:rsidRPr="00000000">
        <w:rPr>
          <w:rtl w:val="0"/>
        </w:rPr>
        <w:t xml:space="preserve">Sektor maritim menopang 90% perdagangan dunia </w:t>
      </w:r>
      <w:r w:rsidDel="00000000" w:rsidR="00000000" w:rsidRPr="00000000">
        <w:rPr>
          <w:color w:val="000000"/>
          <w:rtl w:val="0"/>
        </w:rPr>
        <w:t xml:space="preserve">(ICS, 2020)</w:t>
      </w:r>
      <w:r w:rsidDel="00000000" w:rsidR="00000000" w:rsidRPr="00000000">
        <w:rPr>
          <w:rtl w:val="0"/>
        </w:rPr>
        <w:t xml:space="preserve"> dan diproyeksikan tumbuh 2% per tahun </w:t>
      </w:r>
      <w:r w:rsidDel="00000000" w:rsidR="00000000" w:rsidRPr="00000000">
        <w:rPr>
          <w:color w:val="000000"/>
          <w:rtl w:val="0"/>
        </w:rPr>
        <w:t xml:space="preserve">(UNCTAD, 2025).</w:t>
      </w:r>
      <w:r w:rsidDel="00000000" w:rsidR="00000000" w:rsidRPr="00000000">
        <w:rPr>
          <w:rtl w:val="0"/>
        </w:rPr>
        <w:t xml:space="preserve"> Dengan 40% jalur perdagangan melewati Indonesia </w:t>
      </w:r>
      <w:r w:rsidDel="00000000" w:rsidR="00000000" w:rsidRPr="00000000">
        <w:rPr>
          <w:color w:val="000000"/>
          <w:rtl w:val="0"/>
        </w:rPr>
        <w:t xml:space="preserve">(INSA, 2024),</w:t>
      </w:r>
      <w:r w:rsidDel="00000000" w:rsidR="00000000" w:rsidRPr="00000000">
        <w:rPr>
          <w:rtl w:val="0"/>
        </w:rPr>
        <w:t xml:space="preserve"> pemberdayaan transportasi laut menjadi kunci bagi ekspansi ekspor-impor nasional. Namun, </w:t>
      </w:r>
      <w:r w:rsidDel="00000000" w:rsidR="00000000" w:rsidRPr="00000000">
        <w:rPr>
          <w:color w:val="000000"/>
          <w:rtl w:val="0"/>
        </w:rPr>
        <w:t xml:space="preserve">perkembangan industri ini diikuti dengan risiko kecelakaan yang tinggi (Roberts et al., 2014; Valdez Banda &amp; Goerlandt, 2018). KNKT (2025), mencatat 192 kecelakaan (2015-2025) yang mengakibatkan 808 kematian dan 142 cedera, didominasi oleh kasus kebakaran, tenggelam, dan tubrukan. Tubrukan antar kapal (</w:t>
      </w:r>
      <w:r w:rsidDel="00000000" w:rsidR="00000000" w:rsidRPr="00000000">
        <w:rPr>
          <w:i w:val="1"/>
          <w:iCs w:val="1"/>
          <w:color w:val="000000"/>
          <w:rtl w:val="0"/>
        </w:rPr>
        <w:t xml:space="preserve">ship-to-ship collision</w:t>
      </w:r>
      <w:r w:rsidDel="00000000" w:rsidR="00000000" w:rsidRPr="00000000">
        <w:rPr>
          <w:color w:val="000000"/>
          <w:rtl w:val="0"/>
        </w:rPr>
        <w:t xml:space="preserve">) merupakan salah satu jenis kecelakaan dengan dampak cukup fatal (Chen et al., 2019). </w:t>
      </w:r>
      <w:r w:rsidDel="00000000" w:rsidR="00000000" w:rsidRPr="00000000">
        <w:rPr>
          <w:rtl w:val="0"/>
        </w:rPr>
        <w:t xml:space="preserve">Lebih jauh, </w:t>
      </w:r>
      <w:r w:rsidDel="00000000" w:rsidR="00000000" w:rsidRPr="00000000">
        <w:rPr>
          <w:color w:val="000000"/>
          <w:rtl w:val="0"/>
        </w:rPr>
        <w:t xml:space="preserve">risiko tubrukan berpotensi semakin kritis pada operasi </w:t>
      </w:r>
      <w:r w:rsidDel="00000000" w:rsidR="00000000" w:rsidRPr="00000000">
        <w:rPr>
          <w:i w:val="1"/>
          <w:iCs w:val="1"/>
          <w:color w:val="000000"/>
          <w:rtl w:val="0"/>
        </w:rPr>
        <w:t xml:space="preserve">Ship-to-Ship</w:t>
      </w:r>
      <w:r w:rsidDel="00000000" w:rsidR="00000000" w:rsidRPr="00000000">
        <w:rPr>
          <w:color w:val="000000"/>
          <w:rtl w:val="0"/>
        </w:rPr>
        <w:t xml:space="preserve"> (STS) </w:t>
      </w:r>
      <w:r w:rsidDel="00000000" w:rsidR="00000000" w:rsidRPr="00000000">
        <w:rPr>
          <w:i w:val="1"/>
          <w:iCs w:val="1"/>
          <w:color w:val="000000"/>
          <w:rtl w:val="0"/>
        </w:rPr>
        <w:t xml:space="preserve">Transfer</w:t>
      </w:r>
      <w:r w:rsidDel="00000000" w:rsidR="00000000" w:rsidRPr="00000000">
        <w:rPr>
          <w:color w:val="000000"/>
          <w:rtl w:val="0"/>
        </w:rPr>
        <w:t xml:space="preserve"> (Ventikos &amp; Stavrou, 2013). Stavrou &amp; Ventikos (2016) mengungkapkan bahwa kegagalan STS lebih didominasi faktor manusia, seperti kegagalan komunikasi, </w:t>
      </w:r>
      <w:r w:rsidDel="00000000" w:rsidR="00000000" w:rsidRPr="00000000">
        <w:rPr>
          <w:i w:val="1"/>
          <w:iCs w:val="1"/>
          <w:color w:val="000000"/>
          <w:rtl w:val="0"/>
        </w:rPr>
        <w:t xml:space="preserve">fatigue</w:t>
      </w:r>
      <w:r w:rsidDel="00000000" w:rsidR="00000000" w:rsidRPr="00000000">
        <w:rPr>
          <w:color w:val="000000"/>
          <w:rtl w:val="0"/>
        </w:rPr>
        <w:t xml:space="preserve">, dan kurangnya pengalaman, dibandingkan kegagalan mekanis. Hal ini sejalan dengan tinjauan M. Luo &amp; Shin (2019) bahwa </w:t>
      </w:r>
      <w:r w:rsidDel="00000000" w:rsidR="00000000" w:rsidRPr="00000000">
        <w:rPr>
          <w:i w:val="1"/>
          <w:iCs w:val="1"/>
          <w:color w:val="000000"/>
          <w:rtl w:val="0"/>
        </w:rPr>
        <w:t xml:space="preserve">human error</w:t>
      </w:r>
      <w:r w:rsidDel="00000000" w:rsidR="00000000" w:rsidRPr="00000000">
        <w:rPr>
          <w:color w:val="000000"/>
          <w:rtl w:val="0"/>
        </w:rPr>
        <w:t xml:space="preserve"> merupakan penyebab dominan kecelakaan maritim dalam 50 tahun terakhir. H. Wang et al. (2021) menambahkan bahwa kurangnya pengetahuan teoritis dan pengalaman berlayar berkorelasi langsung dengan tingkat keparahan (</w:t>
      </w:r>
      <w:r w:rsidDel="00000000" w:rsidR="00000000" w:rsidRPr="00000000">
        <w:rPr>
          <w:i w:val="1"/>
          <w:iCs w:val="1"/>
          <w:color w:val="000000"/>
          <w:rtl w:val="0"/>
        </w:rPr>
        <w:t xml:space="preserve">severity</w:t>
      </w:r>
      <w:r w:rsidDel="00000000" w:rsidR="00000000" w:rsidRPr="00000000">
        <w:rPr>
          <w:color w:val="000000"/>
          <w:rtl w:val="0"/>
        </w:rPr>
        <w:t xml:space="preserve">) kecelakaan. Industri maritim beroperasi sebagai sebuah sistem sosio-teknis yang kompleks, pendekatan reaktif dengan menyalahkan pekerja garis depan (</w:t>
      </w:r>
      <w:r w:rsidDel="00000000" w:rsidR="00000000" w:rsidRPr="00000000">
        <w:rPr>
          <w:i w:val="1"/>
          <w:iCs w:val="1"/>
          <w:color w:val="000000"/>
          <w:rtl w:val="0"/>
        </w:rPr>
        <w:t xml:space="preserve">frontline workers</w:t>
      </w:r>
      <w:r w:rsidDel="00000000" w:rsidR="00000000" w:rsidRPr="00000000">
        <w:rPr>
          <w:color w:val="000000"/>
          <w:rtl w:val="0"/>
        </w:rPr>
        <w:t xml:space="preserve">) tidaklah memadai (Wróbel, 2021). Pendekatan Keselamatan dan Kesehatan Kerja (K3) yang proaktif dalam mengevaluasi permasalahan secara sistemis di suatu organisasi dapat menjadi salah satunya (International Maritime Organization (IMO), 2003; Xi et al., 2023). Dari perspektif ilmu perilaku (</w:t>
      </w:r>
      <w:r w:rsidDel="00000000" w:rsidR="00000000" w:rsidRPr="00000000">
        <w:rPr>
          <w:i w:val="1"/>
          <w:iCs w:val="1"/>
          <w:color w:val="000000"/>
          <w:rtl w:val="0"/>
        </w:rPr>
        <w:t xml:space="preserve">behavioral science</w:t>
      </w:r>
      <w:r w:rsidDel="00000000" w:rsidR="00000000" w:rsidRPr="00000000">
        <w:rPr>
          <w:color w:val="000000"/>
          <w:rtl w:val="0"/>
        </w:rPr>
        <w:t xml:space="preserve">), </w:t>
      </w:r>
      <w:r w:rsidDel="00000000" w:rsidR="00000000" w:rsidRPr="00000000">
        <w:rPr>
          <w:i w:val="1"/>
          <w:iCs w:val="1"/>
          <w:color w:val="000000"/>
          <w:rtl w:val="0"/>
        </w:rPr>
        <w:t xml:space="preserve">safety behavior </w:t>
      </w:r>
      <w:r w:rsidDel="00000000" w:rsidR="00000000" w:rsidRPr="00000000">
        <w:rPr>
          <w:color w:val="000000"/>
          <w:rtl w:val="0"/>
        </w:rPr>
        <w:t xml:space="preserve">dianggap sebagai seluruh perilaku individu terkait keselamatan yang berada di bawah pengaruh manajemen keselamatan organisasi dan dikendalikan oleh kesadaran serta keyakinan keselamatan mereka sendiri (Teng et al., 2022). Hal ini turut menunjukkan indikator utama untuk mencegah pekerja mengalami kecelakaan, cedera fisik, dan penyakit (Bayram et al., 2022).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121" w:lineRule="auto"/>
        <w:ind w:right="4" w:firstLine="720"/>
        <w:jc w:val="both"/>
        <w:rPr>
          <w:color w:val="000000"/>
        </w:rPr>
      </w:pPr>
      <w:r w:rsidDel="00000000" w:rsidR="00000000" w:rsidRPr="00000000">
        <w:rPr>
          <w:i w:val="1"/>
          <w:iCs w:val="1"/>
          <w:color w:val="000000"/>
          <w:rtl w:val="0"/>
        </w:rPr>
        <w:t xml:space="preserve">Safety motivation </w:t>
      </w:r>
      <w:r w:rsidDel="00000000" w:rsidR="00000000" w:rsidRPr="00000000">
        <w:rPr>
          <w:color w:val="000000"/>
          <w:rtl w:val="0"/>
        </w:rPr>
        <w:t xml:space="preserve">teridentifikasi sebagai faktor proksimal yang penting untuk </w:t>
      </w:r>
      <w:r w:rsidDel="00000000" w:rsidR="00000000" w:rsidRPr="00000000">
        <w:rPr>
          <w:i w:val="1"/>
          <w:iCs w:val="1"/>
          <w:color w:val="000000"/>
          <w:rtl w:val="0"/>
        </w:rPr>
        <w:t xml:space="preserve">safety behavior </w:t>
      </w:r>
      <w:r w:rsidDel="00000000" w:rsidR="00000000" w:rsidRPr="00000000">
        <w:rPr>
          <w:color w:val="000000"/>
          <w:rtl w:val="0"/>
        </w:rPr>
        <w:t xml:space="preserve">(Liu et al., 2025). Sedangkan dari perspektif </w:t>
      </w:r>
      <w:r w:rsidDel="00000000" w:rsidR="00000000" w:rsidRPr="00000000">
        <w:rPr>
          <w:i w:val="1"/>
          <w:iCs w:val="1"/>
          <w:color w:val="000000"/>
          <w:rtl w:val="0"/>
        </w:rPr>
        <w:t xml:space="preserve">safety climate</w:t>
      </w:r>
      <w:r w:rsidDel="00000000" w:rsidR="00000000" w:rsidRPr="00000000">
        <w:rPr>
          <w:color w:val="000000"/>
          <w:rtl w:val="0"/>
        </w:rPr>
        <w:t xml:space="preserve">, hubungan antara </w:t>
      </w:r>
      <w:r w:rsidDel="00000000" w:rsidR="00000000" w:rsidRPr="00000000">
        <w:rPr>
          <w:i w:val="1"/>
          <w:iCs w:val="1"/>
          <w:color w:val="000000"/>
          <w:rtl w:val="0"/>
        </w:rPr>
        <w:t xml:space="preserve">safety motivation</w:t>
      </w:r>
      <w:r w:rsidDel="00000000" w:rsidR="00000000" w:rsidRPr="00000000">
        <w:rPr>
          <w:color w:val="000000"/>
          <w:rtl w:val="0"/>
        </w:rPr>
        <w:t xml:space="preserve"> di level individu dan </w:t>
      </w:r>
      <w:r w:rsidDel="00000000" w:rsidR="00000000" w:rsidRPr="00000000">
        <w:rPr>
          <w:i w:val="1"/>
          <w:iCs w:val="1"/>
          <w:color w:val="000000"/>
          <w:rtl w:val="0"/>
        </w:rPr>
        <w:t xml:space="preserve">safety climate </w:t>
      </w:r>
      <w:r w:rsidDel="00000000" w:rsidR="00000000" w:rsidRPr="00000000">
        <w:rPr>
          <w:color w:val="000000"/>
          <w:rtl w:val="0"/>
        </w:rPr>
        <w:t xml:space="preserve">di level organisasi bersifat kompleks dan timbal balik. Dalam penelitian Lim et al. (2018), Neal &amp; Griffin (2006), dan Peker et al. (2022) </w:t>
      </w:r>
      <w:r w:rsidDel="00000000" w:rsidR="00000000" w:rsidRPr="00000000">
        <w:rPr>
          <w:i w:val="1"/>
          <w:iCs w:val="1"/>
          <w:color w:val="000000"/>
          <w:rtl w:val="0"/>
        </w:rPr>
        <w:t xml:space="preserve">safety motivation </w:t>
      </w:r>
      <w:r w:rsidDel="00000000" w:rsidR="00000000" w:rsidRPr="00000000">
        <w:rPr>
          <w:color w:val="000000"/>
          <w:rtl w:val="0"/>
        </w:rPr>
        <w:t xml:space="preserve"> berperan sebagai mediator, sedangkan dalam penelitian Panuwatwanich et al. (2017) memiliki peran sebagai prediktor. Utamanya, studi mengenai </w:t>
      </w:r>
      <w:r w:rsidDel="00000000" w:rsidR="00000000" w:rsidRPr="00000000">
        <w:rPr>
          <w:i w:val="1"/>
          <w:iCs w:val="1"/>
          <w:color w:val="000000"/>
          <w:rtl w:val="0"/>
        </w:rPr>
        <w:t xml:space="preserve">safety motivation </w:t>
      </w:r>
      <w:r w:rsidDel="00000000" w:rsidR="00000000" w:rsidRPr="00000000">
        <w:rPr>
          <w:color w:val="000000"/>
          <w:rtl w:val="0"/>
        </w:rPr>
        <w:t xml:space="preserve">sebagai prediktor </w:t>
      </w:r>
      <w:r w:rsidDel="00000000" w:rsidR="00000000" w:rsidRPr="00000000">
        <w:rPr>
          <w:i w:val="1"/>
          <w:iCs w:val="1"/>
          <w:color w:val="000000"/>
          <w:rtl w:val="0"/>
        </w:rPr>
        <w:t xml:space="preserve">safety climate </w:t>
      </w:r>
      <w:r w:rsidDel="00000000" w:rsidR="00000000" w:rsidRPr="00000000">
        <w:rPr>
          <w:color w:val="000000"/>
          <w:rtl w:val="0"/>
        </w:rPr>
        <w:t xml:space="preserve">masih sangat terbatas (Panuwatwanich et al., 2017).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121" w:lineRule="auto"/>
        <w:ind w:right="4" w:firstLine="720"/>
        <w:jc w:val="both"/>
        <w:rPr>
          <w:color w:val="000000"/>
        </w:rPr>
      </w:pPr>
      <w:r w:rsidDel="00000000" w:rsidR="00000000" w:rsidRPr="00000000">
        <w:rPr>
          <w:color w:val="000000"/>
          <w:rtl w:val="0"/>
        </w:rPr>
        <w:t xml:space="preserve">Menurut kajian Liu et al. (2025), </w:t>
      </w:r>
      <w:r w:rsidDel="00000000" w:rsidR="00000000" w:rsidRPr="00000000">
        <w:rPr>
          <w:i w:val="1"/>
          <w:iCs w:val="1"/>
          <w:color w:val="000000"/>
          <w:rtl w:val="0"/>
        </w:rPr>
        <w:t xml:space="preserve">safety motivation </w:t>
      </w:r>
      <w:r w:rsidDel="00000000" w:rsidR="00000000" w:rsidRPr="00000000">
        <w:rPr>
          <w:color w:val="000000"/>
          <w:rtl w:val="0"/>
        </w:rPr>
        <w:t xml:space="preserve">dalam bentuk intrinsik maupun ekstrinsik terbukti secara empiris berdampak positif dan berfungsi sebagai motivator bagi </w:t>
      </w:r>
      <w:r w:rsidDel="00000000" w:rsidR="00000000" w:rsidRPr="00000000">
        <w:rPr>
          <w:i w:val="1"/>
          <w:iCs w:val="1"/>
          <w:color w:val="000000"/>
          <w:rtl w:val="0"/>
        </w:rPr>
        <w:t xml:space="preserve">safety behavior </w:t>
      </w:r>
      <w:r w:rsidDel="00000000" w:rsidR="00000000" w:rsidRPr="00000000">
        <w:rPr>
          <w:color w:val="000000"/>
          <w:rtl w:val="0"/>
        </w:rPr>
        <w:t xml:space="preserve">pekerja (Laurent et al., 2020; Panuwatwanich et al., 2017; Peker et al., 2022; D. Wang et al., 2018; J. Zhang et al., 2020). </w:t>
      </w:r>
      <w:r w:rsidDel="00000000" w:rsidR="00000000" w:rsidRPr="00000000">
        <w:rPr>
          <w:i w:val="1"/>
          <w:iCs w:val="1"/>
          <w:color w:val="000000"/>
          <w:rtl w:val="0"/>
        </w:rPr>
        <w:t xml:space="preserve">Safety motivation </w:t>
      </w:r>
      <w:r w:rsidDel="00000000" w:rsidR="00000000" w:rsidRPr="00000000">
        <w:rPr>
          <w:color w:val="000000"/>
          <w:rtl w:val="0"/>
        </w:rPr>
        <w:t xml:space="preserve">bentuk intrinsik biasanya berupa dorongan internal seperti ketertarikan personal dan rasa tanggung jawab, sedangkan ekstrinsik dapat berupa pengaruh eksternal seperti pemberian program </w:t>
      </w:r>
      <w:r w:rsidDel="00000000" w:rsidR="00000000" w:rsidRPr="00000000">
        <w:rPr>
          <w:i w:val="1"/>
          <w:iCs w:val="1"/>
          <w:color w:val="000000"/>
          <w:rtl w:val="0"/>
        </w:rPr>
        <w:t xml:space="preserve">safety rewards and punishments </w:t>
      </w:r>
      <w:r w:rsidDel="00000000" w:rsidR="00000000" w:rsidRPr="00000000">
        <w:rPr>
          <w:color w:val="000000"/>
          <w:rtl w:val="0"/>
        </w:rPr>
        <w:t xml:space="preserve">(Liu et al., 2025). Meskipun kajian empiris menunjukkan bahwa </w:t>
      </w:r>
      <w:r w:rsidDel="00000000" w:rsidR="00000000" w:rsidRPr="00000000">
        <w:rPr>
          <w:i w:val="1"/>
          <w:iCs w:val="1"/>
          <w:color w:val="000000"/>
          <w:rtl w:val="0"/>
        </w:rPr>
        <w:t xml:space="preserve">safety motivation</w:t>
      </w:r>
      <w:r w:rsidDel="00000000" w:rsidR="00000000" w:rsidRPr="00000000">
        <w:rPr>
          <w:color w:val="000000"/>
          <w:rtl w:val="0"/>
        </w:rPr>
        <w:t xml:space="preserve"> berfungsi efektif sebagai pendorong </w:t>
      </w:r>
      <w:r w:rsidDel="00000000" w:rsidR="00000000" w:rsidRPr="00000000">
        <w:rPr>
          <w:i w:val="1"/>
          <w:iCs w:val="1"/>
          <w:color w:val="000000"/>
          <w:rtl w:val="0"/>
        </w:rPr>
        <w:t xml:space="preserve">safety behavior</w:t>
      </w:r>
      <w:r w:rsidDel="00000000" w:rsidR="00000000" w:rsidRPr="00000000">
        <w:rPr>
          <w:color w:val="000000"/>
          <w:rtl w:val="0"/>
        </w:rPr>
        <w:t xml:space="preserve"> (Liu et al., 2025), penerapannya di lapangan memiliki kompleksitas tinggi, terutama terkait </w:t>
      </w:r>
      <w:r w:rsidDel="00000000" w:rsidR="00000000" w:rsidRPr="00000000">
        <w:rPr>
          <w:i w:val="1"/>
          <w:iCs w:val="1"/>
          <w:color w:val="000000"/>
          <w:rtl w:val="0"/>
        </w:rPr>
        <w:t xml:space="preserve">safety rewards and punishments</w:t>
      </w:r>
      <w:r w:rsidDel="00000000" w:rsidR="00000000" w:rsidRPr="00000000">
        <w:rPr>
          <w:color w:val="000000"/>
          <w:rtl w:val="0"/>
        </w:rPr>
        <w:t xml:space="preserve">. Di satu sisi, ketiadaan penghargaan dapat menurunkan </w:t>
      </w:r>
      <w:r w:rsidDel="00000000" w:rsidR="00000000" w:rsidRPr="00000000">
        <w:rPr>
          <w:i w:val="1"/>
          <w:iCs w:val="1"/>
          <w:color w:val="000000"/>
          <w:rtl w:val="0"/>
        </w:rPr>
        <w:t xml:space="preserve">safety behavior</w:t>
      </w:r>
      <w:r w:rsidDel="00000000" w:rsidR="00000000" w:rsidRPr="00000000">
        <w:rPr>
          <w:color w:val="000000"/>
          <w:rtl w:val="0"/>
        </w:rPr>
        <w:t xml:space="preserve"> (Jung et al., 2020), namun di sisi lain, implementasi yang tidak transparan atau berbasis target ‘</w:t>
      </w:r>
      <w:r w:rsidDel="00000000" w:rsidR="00000000" w:rsidRPr="00000000">
        <w:rPr>
          <w:i w:val="1"/>
          <w:iCs w:val="1"/>
          <w:color w:val="000000"/>
          <w:rtl w:val="0"/>
        </w:rPr>
        <w:t xml:space="preserve">Zero Accident</w:t>
      </w:r>
      <w:r w:rsidDel="00000000" w:rsidR="00000000" w:rsidRPr="00000000">
        <w:rPr>
          <w:color w:val="000000"/>
          <w:rtl w:val="0"/>
        </w:rPr>
        <w:t xml:space="preserve">’ justru berisiko memicu persepsi ketidakadilan, </w:t>
      </w:r>
      <w:r w:rsidDel="00000000" w:rsidR="00000000" w:rsidRPr="00000000">
        <w:rPr>
          <w:i w:val="1"/>
          <w:iCs w:val="1"/>
          <w:color w:val="000000"/>
          <w:rtl w:val="0"/>
        </w:rPr>
        <w:t xml:space="preserve">blame culture</w:t>
      </w:r>
      <w:r w:rsidDel="00000000" w:rsidR="00000000" w:rsidRPr="00000000">
        <w:rPr>
          <w:color w:val="000000"/>
          <w:rtl w:val="0"/>
        </w:rPr>
        <w:t xml:space="preserve">, hingga </w:t>
      </w:r>
      <w:r w:rsidDel="00000000" w:rsidR="00000000" w:rsidRPr="00000000">
        <w:rPr>
          <w:i w:val="1"/>
          <w:iCs w:val="1"/>
          <w:color w:val="000000"/>
          <w:rtl w:val="0"/>
        </w:rPr>
        <w:t xml:space="preserve">under-reporting</w:t>
      </w:r>
      <w:r w:rsidDel="00000000" w:rsidR="00000000" w:rsidRPr="00000000">
        <w:rPr>
          <w:color w:val="000000"/>
          <w:rtl w:val="0"/>
        </w:rPr>
        <w:t xml:space="preserve"> (David Oswald et al., 2019; Xue et al., 2020). Mengingat pentingnya peran motivasi intrinsik dalam menyeimbangkan risiko eksternal tersebut, dinamika interaksi antara kedua bentuk motivasi ini menjadi hal yang krusial untuk diteliti lebih lanjut.</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21" w:lineRule="auto"/>
        <w:ind w:right="4" w:firstLine="720"/>
        <w:jc w:val="both"/>
        <w:rPr>
          <w:color w:val="000000"/>
        </w:rPr>
      </w:pPr>
      <w:r w:rsidDel="00000000" w:rsidR="00000000" w:rsidRPr="00000000">
        <w:rPr>
          <w:color w:val="000000"/>
          <w:rtl w:val="0"/>
        </w:rPr>
        <w:t xml:space="preserve">Sebagai salah satu bentuk intervensi K3 yang proaktif, PT XYZ—sebuah perusahaan penyedia layanan logistik batu bara di Berau yang mengoperasikan armada </w:t>
      </w:r>
      <w:r w:rsidDel="00000000" w:rsidR="00000000" w:rsidRPr="00000000">
        <w:rPr>
          <w:i w:val="1"/>
          <w:iCs w:val="1"/>
          <w:color w:val="000000"/>
          <w:rtl w:val="0"/>
        </w:rPr>
        <w:t xml:space="preserve">tugboat</w:t>
      </w:r>
      <w:r w:rsidDel="00000000" w:rsidR="00000000" w:rsidRPr="00000000">
        <w:rPr>
          <w:color w:val="000000"/>
          <w:rtl w:val="0"/>
        </w:rPr>
        <w:t xml:space="preserve"> dan </w:t>
      </w:r>
      <w:r w:rsidDel="00000000" w:rsidR="00000000" w:rsidRPr="00000000">
        <w:rPr>
          <w:i w:val="1"/>
          <w:iCs w:val="1"/>
          <w:color w:val="000000"/>
          <w:rtl w:val="0"/>
        </w:rPr>
        <w:t xml:space="preserve">floating crane</w:t>
      </w:r>
      <w:r w:rsidDel="00000000" w:rsidR="00000000" w:rsidRPr="00000000">
        <w:rPr>
          <w:color w:val="000000"/>
          <w:rtl w:val="0"/>
        </w:rPr>
        <w:t xml:space="preserve">—mengimplementasikan program </w:t>
      </w:r>
      <w:r w:rsidDel="00000000" w:rsidR="00000000" w:rsidRPr="00000000">
        <w:rPr>
          <w:i w:val="1"/>
          <w:iCs w:val="1"/>
          <w:color w:val="000000"/>
          <w:rtl w:val="0"/>
        </w:rPr>
        <w:t xml:space="preserve">gamification</w:t>
      </w:r>
      <w:r w:rsidDel="00000000" w:rsidR="00000000" w:rsidRPr="00000000">
        <w:rPr>
          <w:color w:val="000000"/>
          <w:rtl w:val="0"/>
        </w:rPr>
        <w:t xml:space="preserve"> berbasis </w:t>
      </w:r>
      <w:r w:rsidDel="00000000" w:rsidR="00000000" w:rsidRPr="00000000">
        <w:rPr>
          <w:i w:val="1"/>
          <w:iCs w:val="1"/>
          <w:color w:val="000000"/>
          <w:rtl w:val="0"/>
        </w:rPr>
        <w:t xml:space="preserve">safety rewards and punishments</w:t>
      </w:r>
      <w:r w:rsidDel="00000000" w:rsidR="00000000" w:rsidRPr="00000000">
        <w:rPr>
          <w:color w:val="000000"/>
          <w:rtl w:val="0"/>
        </w:rPr>
        <w:t xml:space="preserve"> (SRP). Program ini merupakan turunan dari pendekatan </w:t>
      </w:r>
      <w:r w:rsidDel="00000000" w:rsidR="00000000" w:rsidRPr="00000000">
        <w:rPr>
          <w:i w:val="1"/>
          <w:iCs w:val="1"/>
          <w:color w:val="000000"/>
          <w:rtl w:val="0"/>
        </w:rPr>
        <w:t xml:space="preserve">Behavior Based Safety</w:t>
      </w:r>
      <w:r w:rsidDel="00000000" w:rsidR="00000000" w:rsidRPr="00000000">
        <w:rPr>
          <w:color w:val="000000"/>
          <w:rtl w:val="0"/>
        </w:rPr>
        <w:t xml:space="preserve"> (BBS) yang bertujuan memberikan penguatan (</w:t>
      </w:r>
      <w:r w:rsidDel="00000000" w:rsidR="00000000" w:rsidRPr="00000000">
        <w:rPr>
          <w:i w:val="1"/>
          <w:iCs w:val="1"/>
          <w:color w:val="000000"/>
          <w:rtl w:val="0"/>
        </w:rPr>
        <w:t xml:space="preserve">reinforcement</w:t>
      </w:r>
      <w:r w:rsidDel="00000000" w:rsidR="00000000" w:rsidRPr="00000000">
        <w:rPr>
          <w:color w:val="000000"/>
          <w:rtl w:val="0"/>
        </w:rPr>
        <w:t xml:space="preserve">) spesifik demi memotivasi pekerja untuk mengadopsi perilaku aman di lapangan (DeJoy, 2005; Fleming, 2012). Salah satu sasaran utama dari program ini adalah mendorong partisipasi kru kapal untuk membiasakan diri melaporkan temuan </w:t>
      </w:r>
      <w:r w:rsidDel="00000000" w:rsidR="00000000" w:rsidRPr="00000000">
        <w:rPr>
          <w:i w:val="1"/>
          <w:iCs w:val="1"/>
          <w:color w:val="000000"/>
          <w:rtl w:val="0"/>
        </w:rPr>
        <w:t xml:space="preserve">hazard</w:t>
      </w:r>
      <w:r w:rsidDel="00000000" w:rsidR="00000000" w:rsidRPr="00000000">
        <w:rPr>
          <w:color w:val="000000"/>
          <w:rtl w:val="0"/>
        </w:rPr>
        <w:t xml:space="preserve"> dan hasil inspeksi operasional, yang secara spesifik diklasifikasikan menjadi </w:t>
      </w:r>
      <w:r w:rsidDel="00000000" w:rsidR="00000000" w:rsidRPr="00000000">
        <w:rPr>
          <w:i w:val="1"/>
          <w:iCs w:val="1"/>
          <w:color w:val="000000"/>
          <w:rtl w:val="0"/>
        </w:rPr>
        <w:t xml:space="preserve">unsafe conditions</w:t>
      </w:r>
      <w:r w:rsidDel="00000000" w:rsidR="00000000" w:rsidRPr="00000000">
        <w:rPr>
          <w:color w:val="000000"/>
          <w:rtl w:val="0"/>
        </w:rPr>
        <w:t xml:space="preserve"> (Kondisi Tidak Aman/KTA) dan </w:t>
      </w:r>
      <w:r w:rsidDel="00000000" w:rsidR="00000000" w:rsidRPr="00000000">
        <w:rPr>
          <w:i w:val="1"/>
          <w:iCs w:val="1"/>
          <w:color w:val="000000"/>
          <w:rtl w:val="0"/>
        </w:rPr>
        <w:t xml:space="preserve">unsafe acts</w:t>
      </w:r>
      <w:r w:rsidDel="00000000" w:rsidR="00000000" w:rsidRPr="00000000">
        <w:rPr>
          <w:color w:val="000000"/>
          <w:rtl w:val="0"/>
        </w:rPr>
        <w:t xml:space="preserve"> (Tindakan Tidak Aman/TTA). Penelitian dalam lingkup </w:t>
      </w:r>
      <w:r w:rsidDel="00000000" w:rsidR="00000000" w:rsidRPr="00000000">
        <w:rPr>
          <w:i w:val="1"/>
          <w:iCs w:val="1"/>
          <w:color w:val="000000"/>
          <w:rtl w:val="0"/>
        </w:rPr>
        <w:t xml:space="preserve">unsafe acts</w:t>
      </w:r>
      <w:r w:rsidDel="00000000" w:rsidR="00000000" w:rsidRPr="00000000">
        <w:rPr>
          <w:color w:val="000000"/>
          <w:rtl w:val="0"/>
        </w:rPr>
        <w:t xml:space="preserve"> banyak menyorot penggunaan</w:t>
      </w:r>
      <w:r w:rsidDel="00000000" w:rsidR="00000000" w:rsidRPr="00000000">
        <w:rPr>
          <w:i w:val="1"/>
          <w:iCs w:val="1"/>
          <w:color w:val="000000"/>
          <w:rtl w:val="0"/>
        </w:rPr>
        <w:t xml:space="preserve"> </w:t>
      </w:r>
      <w:r w:rsidDel="00000000" w:rsidR="00000000" w:rsidRPr="00000000">
        <w:rPr>
          <w:color w:val="000000"/>
          <w:rtl w:val="0"/>
        </w:rPr>
        <w:t xml:space="preserve">metode </w:t>
      </w:r>
      <w:r w:rsidDel="00000000" w:rsidR="00000000" w:rsidRPr="00000000">
        <w:rPr>
          <w:i w:val="1"/>
          <w:iCs w:val="1"/>
          <w:color w:val="000000"/>
          <w:rtl w:val="0"/>
        </w:rPr>
        <w:t xml:space="preserve">Behavior Based Safety</w:t>
      </w:r>
      <w:r w:rsidDel="00000000" w:rsidR="00000000" w:rsidRPr="00000000">
        <w:rPr>
          <w:color w:val="000000"/>
          <w:rtl w:val="0"/>
        </w:rPr>
        <w:t xml:space="preserve"> (BBS) untuk menanggulangi </w:t>
      </w:r>
      <w:r w:rsidDel="00000000" w:rsidR="00000000" w:rsidRPr="00000000">
        <w:rPr>
          <w:i w:val="1"/>
          <w:iCs w:val="1"/>
          <w:color w:val="000000"/>
          <w:rtl w:val="0"/>
        </w:rPr>
        <w:t xml:space="preserve">unsafe acts</w:t>
      </w:r>
      <w:r w:rsidDel="00000000" w:rsidR="00000000" w:rsidRPr="00000000">
        <w:rPr>
          <w:color w:val="000000"/>
          <w:rtl w:val="0"/>
        </w:rPr>
        <w:t xml:space="preserve"> (Fang et al., 2020; Mullins-Jaime et al., 2021; Sulphey &amp; Adow, 2026; Xi et al., 2023). Strategi ini berfokus pada observasi, pengukuran, dan pemberian umpan balik (</w:t>
      </w:r>
      <w:r w:rsidDel="00000000" w:rsidR="00000000" w:rsidRPr="00000000">
        <w:rPr>
          <w:i w:val="1"/>
          <w:iCs w:val="1"/>
          <w:color w:val="000000"/>
          <w:rtl w:val="0"/>
        </w:rPr>
        <w:t xml:space="preserve">feedback</w:t>
      </w:r>
      <w:r w:rsidDel="00000000" w:rsidR="00000000" w:rsidRPr="00000000">
        <w:rPr>
          <w:color w:val="000000"/>
          <w:rtl w:val="0"/>
        </w:rPr>
        <w:t xml:space="preserve">) (Mullins-Jaime et al., 2021). Melalui identifikasi tindakan dan intervensi, BBS bekerja dengan menempatkan rasa akuntabilitas, tanggung jawab, dan rasa komitmen untuk membantu pekerja dalam mengatur keselamatan diri mereka sendiri (DeJoy, 2005; Geller, 2005; Mullins-Jaime et al., 2021; T.R. Krause et al., 1984).</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240" w:before="121" w:lineRule="auto"/>
        <w:ind w:right="4" w:firstLine="720"/>
        <w:jc w:val="both"/>
        <w:rPr>
          <w:color w:val="000000"/>
        </w:rPr>
      </w:pPr>
      <w:r w:rsidDel="00000000" w:rsidR="00000000" w:rsidRPr="00000000">
        <w:rPr>
          <w:color w:val="000000"/>
          <w:rtl w:val="0"/>
        </w:rPr>
        <w:t xml:space="preserve">Meskipun demikian, implementasi program gamifikasi SRP di PT XYZ memunculkan sebuah paradoks berupa kesenjangan antara kuantitas dan kualitas pelaporan. Data operasional pada </w:t>
      </w:r>
      <w:r w:rsidDel="00000000" w:rsidR="00000000" w:rsidRPr="00000000">
        <w:rPr>
          <w:rtl w:val="0"/>
        </w:rPr>
        <w:t xml:space="preserve">Gambar 1</w:t>
      </w:r>
      <w:r w:rsidDel="00000000" w:rsidR="00000000" w:rsidRPr="00000000">
        <w:rPr>
          <w:color w:val="000000"/>
          <w:rtl w:val="0"/>
        </w:rPr>
        <w:t xml:space="preserve">. menunjukkan adanya lonjakan drastis secara kuantitas setelah program diberlakukan. Lebih jauh lagi, data pelaporan didominasi secara ekstrem oleh temuan KTA, sementara pelaporan terkait TTA tertinggal dan stagnan di angka yang sangat rendah. Stagnasi TTA ini mengindikasikan adanya bias dari sistem </w:t>
      </w:r>
      <w:r w:rsidDel="00000000" w:rsidR="00000000" w:rsidRPr="00000000">
        <w:rPr>
          <w:i w:val="1"/>
          <w:iCs w:val="1"/>
          <w:color w:val="000000"/>
          <w:rtl w:val="0"/>
        </w:rPr>
        <w:t xml:space="preserve">rewards and punishments</w:t>
      </w:r>
      <w:r w:rsidDel="00000000" w:rsidR="00000000" w:rsidRPr="00000000">
        <w:rPr>
          <w:color w:val="000000"/>
          <w:rtl w:val="0"/>
        </w:rPr>
        <w:t xml:space="preserve">; di mana pekerja terdorong untuk melaporkan KTA demi meraup poin dan mendapatkan hadiah, tetapi secara bersamaan menghindari pelaporan TTA sebagai bentuk upaya menghindari sanksi . Fenomena di lapangan ini menjadi indikasi kuat bahwa kontrol berupa dorongan motivasi eksternal semata belum cukup untuk membentuk perilaku yang aman dan konsisten, khususnya jika motivasi tersebut belum terinternalisasi di dalam diri pekerja.</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4591050" cy="1257739"/>
            <wp:docPr id="1424388654" name=""/>
            <a:graphic>
              <a:graphicData uri="http://schemas.openxmlformats.org/drawingml/2006/chart">
                <c:chart r:id="rId7"/>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tl w:val="0"/>
        </w:rPr>
      </w:r>
    </w:p>
    <w:p w:rsidR="00000000" w:rsidDel="00000000" w:rsidP="00000000" w:rsidRDefault="00000000" w:rsidRPr="00000000" w14:paraId="0000001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4591305" cy="1257808"/>
            <wp:docPr id="1424388655" name=""/>
            <a:graphic>
              <a:graphicData uri="http://schemas.openxmlformats.org/drawingml/2006/chart">
                <c:chart r:id="rId8"/>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br w:type="textWrapping"/>
        <w:t xml:space="preserve">(b)</w:t>
      </w:r>
    </w:p>
    <w:bookmarkStart w:colFirst="0" w:colLast="0" w:name="bookmark=id.1ig3dglp1rzw" w:id="1"/>
    <w:bookmarkEnd w:id="1"/>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guj4bchgx3xu" w:id="3"/>
      <w:bookmarkEnd w:id="3"/>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bookmarkStart w:colFirst="0" w:colLast="0" w:name="bookmark=id.903ws33br822" w:id="2"/>
      <w:bookmarkEnd w:id="2"/>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Jumlah laporan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hazard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inspeksi pada Grafik (a) dari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floating crane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Grafik (b) dari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tugboat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Tahun 2025</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121" w:lineRule="auto"/>
        <w:ind w:right="4" w:firstLine="720"/>
        <w:jc w:val="both"/>
        <w:rPr>
          <w:color w:val="000000"/>
        </w:rPr>
      </w:pPr>
      <w:r w:rsidDel="00000000" w:rsidR="00000000" w:rsidRPr="00000000">
        <w:rPr>
          <w:color w:val="000000"/>
          <w:rtl w:val="0"/>
        </w:rPr>
        <w:t xml:space="preserve">Mekanisme terbentuk dan bergeraknya motivasi ini dapat dijelaskan melalui </w:t>
      </w:r>
      <w:r w:rsidDel="00000000" w:rsidR="00000000" w:rsidRPr="00000000">
        <w:rPr>
          <w:i w:val="1"/>
          <w:iCs w:val="1"/>
          <w:color w:val="000000"/>
          <w:rtl w:val="0"/>
        </w:rPr>
        <w:t xml:space="preserve">Self-Determination Theory</w:t>
      </w:r>
      <w:r w:rsidDel="00000000" w:rsidR="00000000" w:rsidRPr="00000000">
        <w:rPr>
          <w:color w:val="000000"/>
          <w:rtl w:val="0"/>
        </w:rPr>
        <w:t xml:space="preserve"> (SDT) yang dikemukakan oleh Ryan &amp; Deci (2000, 2020, 2022). SDT menjelaskan bahwa motivasi pekerja tidak seragam, melainkan berada dalam sebuah kontinum yang bergerak dari dorongan luar (eksternal) hingga terinternalisasi penuh ke dalam diri (otonom). Melalui adaptasi SDT oleh Fleming (2012), </w:t>
      </w:r>
      <w:r w:rsidDel="00000000" w:rsidR="00000000" w:rsidRPr="00000000">
        <w:rPr>
          <w:i w:val="1"/>
          <w:iCs w:val="1"/>
          <w:color w:val="000000"/>
          <w:rtl w:val="0"/>
        </w:rPr>
        <w:t xml:space="preserve">Safety Motivation</w:t>
      </w:r>
      <w:r w:rsidDel="00000000" w:rsidR="00000000" w:rsidRPr="00000000">
        <w:rPr>
          <w:color w:val="000000"/>
          <w:rtl w:val="0"/>
        </w:rPr>
        <w:t xml:space="preserve"> atau motivasi keselamatan dibagi menjadi lima dimensi berurutan: </w:t>
      </w:r>
      <w:r w:rsidDel="00000000" w:rsidR="00000000" w:rsidRPr="00000000">
        <w:rPr>
          <w:i w:val="1"/>
          <w:iCs w:val="1"/>
          <w:color w:val="000000"/>
          <w:rtl w:val="0"/>
        </w:rPr>
        <w:t xml:space="preserve">amotivation</w:t>
      </w:r>
      <w:r w:rsidDel="00000000" w:rsidR="00000000" w:rsidRPr="00000000">
        <w:rPr>
          <w:color w:val="000000"/>
          <w:rtl w:val="0"/>
        </w:rPr>
        <w:t xml:space="preserve"> (ketiadaan motivasi keselamatan), </w:t>
      </w:r>
      <w:r w:rsidDel="00000000" w:rsidR="00000000" w:rsidRPr="00000000">
        <w:rPr>
          <w:i w:val="1"/>
          <w:iCs w:val="1"/>
          <w:color w:val="000000"/>
          <w:rtl w:val="0"/>
        </w:rPr>
        <w:t xml:space="preserve">external safety motivation</w:t>
      </w:r>
      <w:r w:rsidDel="00000000" w:rsidR="00000000" w:rsidRPr="00000000">
        <w:rPr>
          <w:color w:val="000000"/>
          <w:rtl w:val="0"/>
        </w:rPr>
        <w:t xml:space="preserve"> (bertindak demi imbalan/menghindari sanksi), </w:t>
      </w:r>
      <w:r w:rsidDel="00000000" w:rsidR="00000000" w:rsidRPr="00000000">
        <w:rPr>
          <w:i w:val="1"/>
          <w:iCs w:val="1"/>
          <w:color w:val="000000"/>
          <w:rtl w:val="0"/>
        </w:rPr>
        <w:t xml:space="preserve">introjected safety motivation</w:t>
      </w:r>
      <w:r w:rsidDel="00000000" w:rsidR="00000000" w:rsidRPr="00000000">
        <w:rPr>
          <w:color w:val="000000"/>
          <w:rtl w:val="0"/>
        </w:rPr>
        <w:t xml:space="preserve"> (didorong oleh rasa bersalah/malu), </w:t>
      </w:r>
      <w:r w:rsidDel="00000000" w:rsidR="00000000" w:rsidRPr="00000000">
        <w:rPr>
          <w:i w:val="1"/>
          <w:iCs w:val="1"/>
          <w:color w:val="000000"/>
          <w:rtl w:val="0"/>
        </w:rPr>
        <w:t xml:space="preserve">identified safety motivation</w:t>
      </w:r>
      <w:r w:rsidDel="00000000" w:rsidR="00000000" w:rsidRPr="00000000">
        <w:rPr>
          <w:color w:val="000000"/>
          <w:rtl w:val="0"/>
        </w:rPr>
        <w:t xml:space="preserve"> (meyakini nilai dari keselamatan tersebut), hingga yang paling ideal yaitu </w:t>
      </w:r>
      <w:r w:rsidDel="00000000" w:rsidR="00000000" w:rsidRPr="00000000">
        <w:rPr>
          <w:i w:val="1"/>
          <w:iCs w:val="1"/>
          <w:color w:val="000000"/>
          <w:rtl w:val="0"/>
        </w:rPr>
        <w:t xml:space="preserve">intrinsic safety motivation</w:t>
      </w:r>
      <w:r w:rsidDel="00000000" w:rsidR="00000000" w:rsidRPr="00000000">
        <w:rPr>
          <w:color w:val="000000"/>
          <w:rtl w:val="0"/>
        </w:rPr>
        <w:t xml:space="preserve"> (dorongan murni demi kepuasan dan kesenangan personal saat bekerja secara aman). Melalui teori ini, menjadi dapat dipahami mengapa motivasi keselamatan yang bersifat internal dan mandiri (</w:t>
      </w:r>
      <w:r w:rsidDel="00000000" w:rsidR="00000000" w:rsidRPr="00000000">
        <w:rPr>
          <w:i w:val="1"/>
          <w:iCs w:val="1"/>
          <w:color w:val="000000"/>
          <w:rtl w:val="0"/>
        </w:rPr>
        <w:t xml:space="preserve">self-directed safety behaviors</w:t>
      </w:r>
      <w:r w:rsidDel="00000000" w:rsidR="00000000" w:rsidRPr="00000000">
        <w:rPr>
          <w:color w:val="000000"/>
          <w:rtl w:val="0"/>
        </w:rPr>
        <w:t xml:space="preserve">) akan bertahan lebih solid jika dibandingkan dengan motivasi yang sepenuhnya bergantung pada insentif atau ancaman eksternal (Fleming, 2012).</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121" w:lineRule="auto"/>
        <w:ind w:right="4" w:firstLine="720"/>
        <w:jc w:val="both"/>
        <w:rPr>
          <w:color w:val="000000"/>
        </w:rPr>
      </w:pPr>
      <w:r w:rsidDel="00000000" w:rsidR="00000000" w:rsidRPr="00000000">
        <w:rPr>
          <w:color w:val="000000"/>
          <w:rtl w:val="0"/>
        </w:rPr>
        <w:t xml:space="preserve">Namun, dari beberapa literatur terdahulu, sebagian besar studi lebih memfokuskan </w:t>
      </w:r>
      <w:r w:rsidDel="00000000" w:rsidR="00000000" w:rsidRPr="00000000">
        <w:rPr>
          <w:i w:val="1"/>
          <w:iCs w:val="1"/>
          <w:color w:val="000000"/>
          <w:rtl w:val="0"/>
        </w:rPr>
        <w:t xml:space="preserve">Safety Motivation</w:t>
      </w:r>
      <w:r w:rsidDel="00000000" w:rsidR="00000000" w:rsidRPr="00000000">
        <w:rPr>
          <w:color w:val="000000"/>
          <w:rtl w:val="0"/>
        </w:rPr>
        <w:t xml:space="preserve"> sebagai variabel prediktor dalam model kausalitas (eksplanatori) untuk melihat pengaruhnya terhadap variabel perilaku keselamatan yang lain (Lim et al., 2018; Panuwatwanich et al., 2017; Peker et al., 2022). Penelitian ini secara khusus bertujuan untuk mengisi celah (</w:t>
      </w:r>
      <w:r w:rsidDel="00000000" w:rsidR="00000000" w:rsidRPr="00000000">
        <w:rPr>
          <w:i w:val="1"/>
          <w:iCs w:val="1"/>
          <w:color w:val="000000"/>
          <w:rtl w:val="0"/>
        </w:rPr>
        <w:t xml:space="preserve">gap</w:t>
      </w:r>
      <w:r w:rsidDel="00000000" w:rsidR="00000000" w:rsidRPr="00000000">
        <w:rPr>
          <w:color w:val="000000"/>
          <w:rtl w:val="0"/>
        </w:rPr>
        <w:t xml:space="preserve">) literatur dengan mengambil pendekatan deskriptif analitis. Studi ini tidak melakukan uji hipotesis hubungan sebab-akibat antar variabel, melainkan difokuskan secara mendalam untuk memetakan variasi setiap dimensi dari </w:t>
      </w:r>
      <w:r w:rsidDel="00000000" w:rsidR="00000000" w:rsidRPr="00000000">
        <w:rPr>
          <w:i w:val="1"/>
          <w:iCs w:val="1"/>
          <w:color w:val="000000"/>
          <w:rtl w:val="0"/>
        </w:rPr>
        <w:t xml:space="preserve">Safety Motivation</w:t>
      </w:r>
      <w:r w:rsidDel="00000000" w:rsidR="00000000" w:rsidRPr="00000000">
        <w:rPr>
          <w:color w:val="000000"/>
          <w:rtl w:val="0"/>
        </w:rPr>
        <w:t xml:space="preserve"> pada kru kapal di bawah payung program SRP perusahaan.</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240" w:before="121" w:lineRule="auto"/>
        <w:ind w:right="4" w:firstLine="720"/>
        <w:jc w:val="both"/>
        <w:rPr>
          <w:color w:val="000000"/>
        </w:rPr>
      </w:pPr>
      <w:r w:rsidDel="00000000" w:rsidR="00000000" w:rsidRPr="00000000">
        <w:rPr>
          <w:color w:val="000000"/>
          <w:rtl w:val="0"/>
        </w:rPr>
        <w:t xml:space="preserve">Berdasarkan uraian di atas, permasalahan utama yang dikaji dalam penelitian ini difokuskan pada pendeskripsian gambaran </w:t>
      </w:r>
      <w:r w:rsidDel="00000000" w:rsidR="00000000" w:rsidRPr="00000000">
        <w:rPr>
          <w:i w:val="1"/>
          <w:iCs w:val="1"/>
          <w:color w:val="000000"/>
          <w:rtl w:val="0"/>
        </w:rPr>
        <w:t xml:space="preserve">Safety Motivation</w:t>
      </w:r>
      <w:r w:rsidDel="00000000" w:rsidR="00000000" w:rsidRPr="00000000">
        <w:rPr>
          <w:color w:val="000000"/>
          <w:rtl w:val="0"/>
        </w:rPr>
        <w:t xml:space="preserve"> kru kapal </w:t>
      </w:r>
      <w:r w:rsidDel="00000000" w:rsidR="00000000" w:rsidRPr="00000000">
        <w:rPr>
          <w:i w:val="1"/>
          <w:iCs w:val="1"/>
          <w:color w:val="000000"/>
          <w:rtl w:val="0"/>
        </w:rPr>
        <w:t xml:space="preserve">tugboat</w:t>
      </w:r>
      <w:r w:rsidDel="00000000" w:rsidR="00000000" w:rsidRPr="00000000">
        <w:rPr>
          <w:color w:val="000000"/>
          <w:rtl w:val="0"/>
        </w:rPr>
        <w:t xml:space="preserve"> dan </w:t>
      </w:r>
      <w:r w:rsidDel="00000000" w:rsidR="00000000" w:rsidRPr="00000000">
        <w:rPr>
          <w:i w:val="1"/>
          <w:iCs w:val="1"/>
          <w:color w:val="000000"/>
          <w:rtl w:val="0"/>
        </w:rPr>
        <w:t xml:space="preserve">floating crane</w:t>
      </w:r>
      <w:r w:rsidDel="00000000" w:rsidR="00000000" w:rsidRPr="00000000">
        <w:rPr>
          <w:color w:val="000000"/>
          <w:rtl w:val="0"/>
        </w:rPr>
        <w:t xml:space="preserve"> pada kelima dimensinya di PT XYZ. Sejalan dengan fokus tersebut, penelitian ini bertujuan untuk mengukur serta memetakan profil </w:t>
      </w:r>
      <w:r w:rsidDel="00000000" w:rsidR="00000000" w:rsidRPr="00000000">
        <w:rPr>
          <w:i w:val="1"/>
          <w:iCs w:val="1"/>
          <w:color w:val="000000"/>
          <w:rtl w:val="0"/>
        </w:rPr>
        <w:t xml:space="preserve">Safety Motivation</w:t>
      </w:r>
      <w:r w:rsidDel="00000000" w:rsidR="00000000" w:rsidRPr="00000000">
        <w:rPr>
          <w:color w:val="000000"/>
          <w:rtl w:val="0"/>
        </w:rPr>
        <w:t xml:space="preserve"> pekerja secara komprehensif. Sesuai dengan batasan masalah, ruang lingkup kajian ini dibatasi secara eksklusif pada deskripsi variabel tunggal </w:t>
      </w:r>
      <w:r w:rsidDel="00000000" w:rsidR="00000000" w:rsidRPr="00000000">
        <w:rPr>
          <w:i w:val="1"/>
          <w:iCs w:val="1"/>
          <w:color w:val="000000"/>
          <w:rtl w:val="0"/>
        </w:rPr>
        <w:t xml:space="preserve">Safety Motivation</w:t>
      </w:r>
      <w:r w:rsidDel="00000000" w:rsidR="00000000" w:rsidRPr="00000000">
        <w:rPr>
          <w:color w:val="000000"/>
          <w:rtl w:val="0"/>
        </w:rPr>
        <w:t xml:space="preserve">, Pendekatan deskriptif kuantitatif</w:t>
      </w:r>
      <w:r w:rsidDel="00000000" w:rsidR="00000000" w:rsidRPr="00000000">
        <w:rPr>
          <w:b w:val="1"/>
          <w:bCs w:val="1"/>
          <w:color w:val="000000"/>
          <w:rtl w:val="0"/>
        </w:rPr>
        <w:t xml:space="preserve"> </w:t>
      </w:r>
      <w:r w:rsidDel="00000000" w:rsidR="00000000" w:rsidRPr="00000000">
        <w:rPr>
          <w:color w:val="000000"/>
          <w:rtl w:val="0"/>
        </w:rPr>
        <w:t xml:space="preserve">ini diharapkan mampu menghasilkan potret awal yang murni, terperinci, dan representatif mengenai kualitas </w:t>
      </w:r>
      <w:r w:rsidDel="00000000" w:rsidR="00000000" w:rsidRPr="00000000">
        <w:rPr>
          <w:i w:val="1"/>
          <w:iCs w:val="1"/>
          <w:color w:val="000000"/>
          <w:rtl w:val="0"/>
        </w:rPr>
        <w:t xml:space="preserve">safety motivation</w:t>
      </w:r>
      <w:r w:rsidDel="00000000" w:rsidR="00000000" w:rsidRPr="00000000">
        <w:rPr>
          <w:color w:val="000000"/>
          <w:rtl w:val="0"/>
        </w:rPr>
        <w:t xml:space="preserve"> pekerja di lapangan.</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rtl w:val="0"/>
        </w:rPr>
        <w:t xml:space="preserve">METODE </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23" w:before="118" w:lineRule="auto"/>
        <w:ind w:right="4" w:firstLine="720"/>
        <w:jc w:val="both"/>
        <w:rPr/>
      </w:pPr>
      <w:r w:rsidDel="00000000" w:rsidR="00000000" w:rsidRPr="00000000">
        <w:rPr>
          <w:color w:val="000000"/>
          <w:rtl w:val="0"/>
        </w:rPr>
        <w:t xml:space="preserve">Penelitian ini menggunakan desain penelitian kuantitatif dengan pendekatan untuk mengukur profil </w:t>
      </w:r>
      <w:r w:rsidDel="00000000" w:rsidR="00000000" w:rsidRPr="00000000">
        <w:rPr>
          <w:i w:val="1"/>
          <w:iCs w:val="1"/>
          <w:color w:val="000000"/>
          <w:rtl w:val="0"/>
        </w:rPr>
        <w:t xml:space="preserve">safety motivation</w:t>
      </w:r>
      <w:r w:rsidDel="00000000" w:rsidR="00000000" w:rsidRPr="00000000">
        <w:rPr>
          <w:color w:val="000000"/>
          <w:rtl w:val="0"/>
        </w:rPr>
        <w:t xml:space="preserve"> kru kapal pada operasional </w:t>
      </w:r>
      <w:r w:rsidDel="00000000" w:rsidR="00000000" w:rsidRPr="00000000">
        <w:rPr>
          <w:i w:val="1"/>
          <w:iCs w:val="1"/>
          <w:color w:val="000000"/>
          <w:rtl w:val="0"/>
        </w:rPr>
        <w:t xml:space="preserve">transshipment</w:t>
      </w:r>
      <w:r w:rsidDel="00000000" w:rsidR="00000000" w:rsidRPr="00000000">
        <w:rPr>
          <w:color w:val="000000"/>
          <w:rtl w:val="0"/>
        </w:rPr>
        <w:t xml:space="preserve"> di PT XYZ. Tujuan dari penelitian ini adalah memberikan gambaran menyeluruh mengenai kondisi </w:t>
      </w:r>
      <w:r w:rsidDel="00000000" w:rsidR="00000000" w:rsidRPr="00000000">
        <w:rPr>
          <w:i w:val="1"/>
          <w:iCs w:val="1"/>
          <w:color w:val="000000"/>
          <w:rtl w:val="0"/>
        </w:rPr>
        <w:t xml:space="preserve">safety motivation </w:t>
      </w:r>
      <w:r w:rsidDel="00000000" w:rsidR="00000000" w:rsidRPr="00000000">
        <w:rPr>
          <w:color w:val="000000"/>
          <w:rtl w:val="0"/>
        </w:rPr>
        <w:t xml:space="preserve">yang dirasakan kru kapal pada intervensi </w:t>
      </w:r>
      <w:r w:rsidDel="00000000" w:rsidR="00000000" w:rsidRPr="00000000">
        <w:rPr>
          <w:i w:val="1"/>
          <w:iCs w:val="1"/>
          <w:color w:val="000000"/>
          <w:rtl w:val="0"/>
        </w:rPr>
        <w:t xml:space="preserve">safety rewards and punishments </w:t>
      </w:r>
      <w:r w:rsidDel="00000000" w:rsidR="00000000" w:rsidRPr="00000000">
        <w:rPr>
          <w:color w:val="000000"/>
          <w:rtl w:val="0"/>
        </w:rPr>
        <w:t xml:space="preserve">yang diterapkan perusahaan sekaligus dalam lingkup kerja operasional </w:t>
      </w:r>
      <w:r w:rsidDel="00000000" w:rsidR="00000000" w:rsidRPr="00000000">
        <w:rPr>
          <w:i w:val="1"/>
          <w:iCs w:val="1"/>
          <w:color w:val="000000"/>
          <w:rtl w:val="0"/>
        </w:rPr>
        <w:t xml:space="preserve">transshipment</w:t>
      </w:r>
      <w:r w:rsidDel="00000000" w:rsidR="00000000" w:rsidRPr="00000000">
        <w:rPr>
          <w:color w:val="000000"/>
          <w:rtl w:val="0"/>
        </w:rPr>
        <w:t xml:space="preserve">. Total populasi dalam penelitian adalah 250 kru kapal. </w:t>
      </w:r>
      <w:r w:rsidDel="00000000" w:rsidR="00000000" w:rsidRPr="00000000">
        <w:rPr>
          <w:rtl w:val="0"/>
        </w:rPr>
        <w:t xml:space="preserve">Untuk mendukung kecukupan jumlah sampel ini, penentuan jumlah sampel minimum dilakukan berdasarkan </w:t>
      </w:r>
      <w:r w:rsidDel="00000000" w:rsidR="00000000" w:rsidRPr="00000000">
        <w:rPr>
          <w:color w:val="000000"/>
          <w:rtl w:val="0"/>
        </w:rPr>
        <w:t xml:space="preserve">Hair et al. (2021). Berdasarkan tinjauan literatur terdahulu, penelitian Panuwatwanich et al. (2017)Click or tap here to enter text. menghasilkan kisaran </w:t>
      </w:r>
      <w:r w:rsidDel="00000000" w:rsidR="00000000" w:rsidRPr="00000000">
        <w:rPr>
          <w:i w:val="1"/>
          <w:iCs w:val="1"/>
          <w:color w:val="000000"/>
          <w:rtl w:val="0"/>
        </w:rPr>
        <w:t xml:space="preserve">path coefficient </w:t>
      </w:r>
      <w:r w:rsidDel="00000000" w:rsidR="00000000" w:rsidRPr="00000000">
        <w:rPr>
          <w:color w:val="000000"/>
          <w:rtl w:val="0"/>
        </w:rPr>
        <w:t xml:space="preserve">dari –0.43 hingga 0.75, sedangkan dalam studi  Xi et al. (2023), hasil kisaran </w:t>
      </w:r>
      <w:r w:rsidDel="00000000" w:rsidR="00000000" w:rsidRPr="00000000">
        <w:rPr>
          <w:i w:val="1"/>
          <w:iCs w:val="1"/>
          <w:color w:val="000000"/>
          <w:rtl w:val="0"/>
        </w:rPr>
        <w:t xml:space="preserve">path coefficient </w:t>
      </w:r>
      <w:r w:rsidDel="00000000" w:rsidR="00000000" w:rsidRPr="00000000">
        <w:rPr>
          <w:color w:val="000000"/>
          <w:rtl w:val="0"/>
        </w:rPr>
        <w:t xml:space="preserve">adalah 0.177 hingga 0.383. Mempertimbangkan rekomendasi </w:t>
      </w:r>
      <w:r w:rsidDel="00000000" w:rsidR="00000000" w:rsidRPr="00000000">
        <w:rPr>
          <w:i w:val="1"/>
          <w:iCs w:val="1"/>
          <w:color w:val="000000"/>
          <w:rtl w:val="0"/>
        </w:rPr>
        <w:t xml:space="preserve">upper bound </w:t>
      </w:r>
      <w:r w:rsidDel="00000000" w:rsidR="00000000" w:rsidRPr="00000000">
        <w:rPr>
          <w:color w:val="000000"/>
          <w:rtl w:val="0"/>
        </w:rPr>
        <w:t xml:space="preserve">sebagai nilai input </w:t>
      </w:r>
      <w:r w:rsidDel="00000000" w:rsidR="00000000" w:rsidRPr="00000000">
        <w:rPr>
          <w:i w:val="1"/>
          <w:iCs w:val="1"/>
          <w:color w:val="000000"/>
          <w:rtl w:val="0"/>
        </w:rPr>
        <w:t xml:space="preserve">path coefficient, </w:t>
      </w:r>
      <w:r w:rsidDel="00000000" w:rsidR="00000000" w:rsidRPr="00000000">
        <w:rPr>
          <w:color w:val="000000"/>
          <w:rtl w:val="0"/>
        </w:rPr>
        <w:t xml:space="preserve">namun tetap konservatif, </w:t>
      </w:r>
      <w:r w:rsidDel="00000000" w:rsidR="00000000" w:rsidRPr="00000000">
        <w:rPr>
          <w:rtl w:val="0"/>
        </w:rPr>
        <w:t xml:space="preserve">rentang </w:t>
      </w:r>
      <m:oMath>
        <m:sSub>
          <m:sSubPr>
            <m:ctrlPr>
              <w:rPr>
                <w:rFonts w:ascii="Cambria Math" w:cs="Cambria Math" w:eastAsia="Cambria Math" w:hAnsi="Cambria Math"/>
              </w:rPr>
            </m:ctrlPr>
          </m:sSubPr>
          <m:e>
            <m:r>
              <w:rPr>
                <w:rFonts w:ascii="Cambria Math" w:cs="Cambria Math" w:eastAsia="Cambria Math" w:hAnsi="Cambria Math"/>
              </w:rPr>
              <m:t xml:space="preserve">P</m:t>
            </m:r>
          </m:e>
          <m:sub>
            <m:r>
              <w:rPr>
                <w:rFonts w:ascii="Cambria Math" w:cs="Cambria Math" w:eastAsia="Cambria Math" w:hAnsi="Cambria Math"/>
              </w:rPr>
              <m:t xml:space="preserve">min</m:t>
            </m:r>
          </m:sub>
        </m:sSub>
      </m:oMath>
      <w:r w:rsidDel="00000000" w:rsidR="00000000" w:rsidRPr="00000000">
        <w:rPr>
          <w:rtl w:val="0"/>
        </w:rPr>
        <w:t xml:space="preserve"> yang digunakan adalah 0.11-0.2. Pada rentang ini, nilai </w:t>
      </w:r>
      <w:r w:rsidDel="00000000" w:rsidR="00000000" w:rsidRPr="00000000">
        <w:rPr>
          <w:i w:val="1"/>
          <w:iCs w:val="1"/>
          <w:rtl w:val="0"/>
        </w:rPr>
        <w:t xml:space="preserve">significance </w:t>
      </w:r>
      <w:r w:rsidDel="00000000" w:rsidR="00000000" w:rsidRPr="00000000">
        <w:rPr>
          <w:rtl w:val="0"/>
        </w:rPr>
        <w:t xml:space="preserve">5%, mensyaratkan jumlah sampel minimum sebanyak 155 responden</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3" w:before="118" w:lineRule="auto"/>
        <w:ind w:right="4" w:firstLine="720"/>
        <w:jc w:val="both"/>
        <w:rPr/>
      </w:pPr>
      <w:r w:rsidDel="00000000" w:rsidR="00000000" w:rsidRPr="00000000">
        <w:rPr>
          <w:rtl w:val="0"/>
        </w:rPr>
        <w:t xml:space="preserve">Penelitian dilaksanakan pada level individu, termasuk kru kapal pada posisi </w:t>
      </w:r>
      <w:r w:rsidDel="00000000" w:rsidR="00000000" w:rsidRPr="00000000">
        <w:rPr>
          <w:i w:val="1"/>
          <w:iCs w:val="1"/>
          <w:rtl w:val="0"/>
        </w:rPr>
        <w:t xml:space="preserve">rating</w:t>
      </w:r>
      <w:r w:rsidDel="00000000" w:rsidR="00000000" w:rsidRPr="00000000">
        <w:rPr>
          <w:rtl w:val="0"/>
        </w:rPr>
        <w:t xml:space="preserve">, operator </w:t>
      </w:r>
      <w:r w:rsidDel="00000000" w:rsidR="00000000" w:rsidRPr="00000000">
        <w:rPr>
          <w:i w:val="1"/>
          <w:iCs w:val="1"/>
          <w:rtl w:val="0"/>
        </w:rPr>
        <w:t xml:space="preserve">crane</w:t>
      </w:r>
      <w:r w:rsidDel="00000000" w:rsidR="00000000" w:rsidRPr="00000000">
        <w:rPr>
          <w:rtl w:val="0"/>
        </w:rPr>
        <w:t xml:space="preserve">, perwira </w:t>
      </w:r>
      <w:r w:rsidDel="00000000" w:rsidR="00000000" w:rsidRPr="00000000">
        <w:rPr>
          <w:i w:val="1"/>
          <w:iCs w:val="1"/>
          <w:rtl w:val="0"/>
        </w:rPr>
        <w:t xml:space="preserve">deck</w:t>
      </w:r>
      <w:r w:rsidDel="00000000" w:rsidR="00000000" w:rsidRPr="00000000">
        <w:rPr>
          <w:rtl w:val="0"/>
        </w:rPr>
        <w:t xml:space="preserve">, perwira mesin, dan </w:t>
      </w:r>
      <w:r w:rsidDel="00000000" w:rsidR="00000000" w:rsidRPr="00000000">
        <w:rPr>
          <w:i w:val="1"/>
          <w:iCs w:val="1"/>
          <w:rtl w:val="0"/>
        </w:rPr>
        <w:t xml:space="preserve">Master </w:t>
      </w:r>
      <w:r w:rsidDel="00000000" w:rsidR="00000000" w:rsidRPr="00000000">
        <w:rPr>
          <w:rtl w:val="0"/>
        </w:rPr>
        <w:t xml:space="preserve">yang bekerja secara langsung di kapal. Adapun sebelum pengisian kuesioner, para subjek  penelitian diberikan laman persetujuan responden (</w:t>
      </w:r>
      <w:r w:rsidDel="00000000" w:rsidR="00000000" w:rsidRPr="00000000">
        <w:rPr>
          <w:i w:val="1"/>
          <w:iCs w:val="1"/>
          <w:rtl w:val="0"/>
        </w:rPr>
        <w:t xml:space="preserve">informed consent</w:t>
      </w:r>
      <w:r w:rsidDel="00000000" w:rsidR="00000000" w:rsidRPr="00000000">
        <w:rPr>
          <w:rtl w:val="0"/>
        </w:rPr>
        <w:t xml:space="preserve">) yang berisikan tujuan dan informasi penting terkait penelitian. Kuesioner dikirimkan secara daring kepada seluruh kru kapal yang bertugas di 15 armada, terdiri dari 5 kapal </w:t>
      </w:r>
      <w:r w:rsidDel="00000000" w:rsidR="00000000" w:rsidRPr="00000000">
        <w:rPr>
          <w:i w:val="1"/>
          <w:iCs w:val="1"/>
          <w:rtl w:val="0"/>
        </w:rPr>
        <w:t xml:space="preserve">floating crane </w:t>
      </w:r>
      <w:r w:rsidDel="00000000" w:rsidR="00000000" w:rsidRPr="00000000">
        <w:rPr>
          <w:rtl w:val="0"/>
        </w:rPr>
        <w:t xml:space="preserve">dan 10 kapal </w:t>
      </w:r>
      <w:r w:rsidDel="00000000" w:rsidR="00000000" w:rsidRPr="00000000">
        <w:rPr>
          <w:i w:val="1"/>
          <w:iCs w:val="1"/>
          <w:rtl w:val="0"/>
        </w:rPr>
        <w:t xml:space="preserve">tug boat</w:t>
      </w:r>
      <w:r w:rsidDel="00000000" w:rsidR="00000000" w:rsidRPr="00000000">
        <w:rPr>
          <w:rtl w:val="0"/>
        </w:rPr>
        <w:t xml:space="preserve">, dengan estimasi total kapasitas mencapai 250 kru kapal. Respons yang diterima sebanyak 220 jawaban, dengan tingkat respons sebanyak 88%. Setelah penyaringan dari persetujuan partisipan, terdapat 3 respons yang dieliminasi karena tidak memberikan persetujuan. Dengan demikian, total respons valid yang dapat diproses lebih lanjut dalam analisis data penelitian ini adalah sebanyak 217 kru kapal</w:t>
      </w:r>
      <w:r w:rsidDel="00000000" w:rsidR="00000000" w:rsidRPr="00000000">
        <w:rPr>
          <w:color w:val="000000"/>
          <w:rtl w:val="0"/>
        </w:rPr>
        <w:t xml:space="preserve">.</w:t>
      </w:r>
      <w:r w:rsidDel="00000000" w:rsidR="00000000" w:rsidRPr="00000000">
        <w:rPr>
          <w:rtl w:val="0"/>
        </w:rPr>
        <w:t xml:space="preserve">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3" w:before="118" w:lineRule="auto"/>
        <w:ind w:right="4" w:firstLine="720"/>
        <w:jc w:val="both"/>
        <w:rPr/>
      </w:pPr>
      <w:r w:rsidDel="00000000" w:rsidR="00000000" w:rsidRPr="00000000">
        <w:rPr>
          <w:color w:val="000000"/>
          <w:rtl w:val="0"/>
        </w:rPr>
        <w:t xml:space="preserve">Pengukuran </w:t>
      </w:r>
      <w:r w:rsidDel="00000000" w:rsidR="00000000" w:rsidRPr="00000000">
        <w:rPr>
          <w:i w:val="1"/>
          <w:iCs w:val="1"/>
          <w:color w:val="000000"/>
          <w:rtl w:val="0"/>
        </w:rPr>
        <w:t xml:space="preserve">safety motivation </w:t>
      </w:r>
      <w:r w:rsidDel="00000000" w:rsidR="00000000" w:rsidRPr="00000000">
        <w:rPr>
          <w:color w:val="000000"/>
          <w:rtl w:val="0"/>
        </w:rPr>
        <w:t xml:space="preserve">menggunakan adaptasi instrumen </w:t>
      </w:r>
      <w:r w:rsidDel="00000000" w:rsidR="00000000" w:rsidRPr="00000000">
        <w:rPr>
          <w:i w:val="1"/>
          <w:iCs w:val="1"/>
          <w:color w:val="000000"/>
          <w:rtl w:val="0"/>
        </w:rPr>
        <w:t xml:space="preserve">Self-Determined Safety Motivation </w:t>
      </w:r>
      <w:r w:rsidDel="00000000" w:rsidR="00000000" w:rsidRPr="00000000">
        <w:rPr>
          <w:color w:val="000000"/>
          <w:rtl w:val="0"/>
        </w:rPr>
        <w:t xml:space="preserve">(SDSM) </w:t>
      </w:r>
      <w:r w:rsidDel="00000000" w:rsidR="00000000" w:rsidRPr="00000000">
        <w:rPr>
          <w:i w:val="1"/>
          <w:iCs w:val="1"/>
          <w:color w:val="000000"/>
          <w:rtl w:val="0"/>
        </w:rPr>
        <w:t xml:space="preserve">Scale </w:t>
      </w:r>
      <w:r w:rsidDel="00000000" w:rsidR="00000000" w:rsidRPr="00000000">
        <w:rPr>
          <w:color w:val="000000"/>
          <w:rtl w:val="0"/>
        </w:rPr>
        <w:t xml:space="preserve">yang terdiri dari 20 indikator (Fleming, 2012) yang dikembangkan berdasarkan </w:t>
      </w:r>
      <w:r w:rsidDel="00000000" w:rsidR="00000000" w:rsidRPr="00000000">
        <w:rPr>
          <w:i w:val="1"/>
          <w:iCs w:val="1"/>
          <w:color w:val="000000"/>
          <w:rtl w:val="0"/>
        </w:rPr>
        <w:t xml:space="preserve">Self-Determination Theory</w:t>
      </w:r>
      <w:r w:rsidDel="00000000" w:rsidR="00000000" w:rsidRPr="00000000">
        <w:rPr>
          <w:color w:val="000000"/>
          <w:rtl w:val="0"/>
        </w:rPr>
        <w:t xml:space="preserve"> (Ryan &amp; Deci, 2000). Instrumen SDSM meliputi lima dimensi berikut:</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18" w:line="240" w:lineRule="auto"/>
        <w:ind w:left="108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Intrinsic Safety Motivation</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Identified Safety Motivation</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Introjected Safety Motivation</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External Safety Motivation</w:t>
      </w: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3" w:before="0" w:line="240" w:lineRule="auto"/>
        <w:ind w:left="108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Amotivation</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3" w:before="118" w:lineRule="auto"/>
        <w:ind w:left="720" w:right="4" w:firstLine="0"/>
        <w:jc w:val="both"/>
        <w:rPr>
          <w:color w:val="000000"/>
        </w:rPr>
      </w:pPr>
      <w:r w:rsidDel="00000000" w:rsidR="00000000" w:rsidRPr="00000000">
        <w:rPr>
          <w:color w:val="000000"/>
          <w:rtl w:val="0"/>
        </w:rPr>
        <w:t xml:space="preserve">Teknik pengukuran mengaplikasikan skala likert 1-5 dengan ketentuan berikut:</w:t>
      </w:r>
    </w:p>
    <w:p w:rsidR="00000000" w:rsidDel="00000000" w:rsidP="00000000" w:rsidRDefault="00000000" w:rsidRPr="00000000" w14:paraId="0000002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Skala pengukuran</w:t>
      </w:r>
    </w:p>
    <w:tbl>
      <w:tblPr>
        <w:tblStyle w:val="Table1"/>
        <w:tblW w:w="893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8"/>
        <w:gridCol w:w="1489"/>
        <w:gridCol w:w="1488"/>
        <w:gridCol w:w="1489"/>
        <w:gridCol w:w="1488"/>
        <w:gridCol w:w="1489"/>
        <w:tblGridChange w:id="0">
          <w:tblGrid>
            <w:gridCol w:w="1488"/>
            <w:gridCol w:w="1489"/>
            <w:gridCol w:w="1488"/>
            <w:gridCol w:w="1489"/>
            <w:gridCol w:w="1488"/>
            <w:gridCol w:w="1489"/>
          </w:tblGrid>
        </w:tblGridChange>
      </w:tblGrid>
      <w:tr>
        <w:trPr>
          <w:cantSplit w:val="0"/>
          <w:trHeight w:val="243" w:hRule="atLeast"/>
          <w:tblHeader w:val="0"/>
        </w:trPr>
        <w:tc>
          <w:tcPr>
            <w:vAlign w:val="center"/>
          </w:tcPr>
          <w:p w:rsidR="00000000" w:rsidDel="00000000" w:rsidP="00000000" w:rsidRDefault="00000000" w:rsidRPr="00000000" w14:paraId="0000002C">
            <w:pPr>
              <w:rPr>
                <w:sz w:val="18"/>
                <w:szCs w:val="18"/>
              </w:rPr>
            </w:pPr>
            <w:r w:rsidDel="00000000" w:rsidR="00000000" w:rsidRPr="00000000">
              <w:rPr>
                <w:sz w:val="18"/>
                <w:szCs w:val="18"/>
                <w:rtl w:val="0"/>
              </w:rPr>
              <w:t xml:space="preserve">Jenis Pernyataan</w:t>
            </w:r>
          </w:p>
        </w:tc>
        <w:tc>
          <w:tcPr>
            <w:vAlign w:val="center"/>
          </w:tcPr>
          <w:p w:rsidR="00000000" w:rsidDel="00000000" w:rsidP="00000000" w:rsidRDefault="00000000" w:rsidRPr="00000000" w14:paraId="0000002D">
            <w:pPr>
              <w:jc w:val="center"/>
              <w:rPr>
                <w:sz w:val="18"/>
                <w:szCs w:val="18"/>
              </w:rPr>
            </w:pPr>
            <w:r w:rsidDel="00000000" w:rsidR="00000000" w:rsidRPr="00000000">
              <w:rPr>
                <w:sz w:val="18"/>
                <w:szCs w:val="18"/>
                <w:rtl w:val="0"/>
              </w:rPr>
              <w:t xml:space="preserve">Sangat Tidak Setuju</w:t>
            </w:r>
          </w:p>
        </w:tc>
        <w:tc>
          <w:tcPr>
            <w:vAlign w:val="center"/>
          </w:tcPr>
          <w:p w:rsidR="00000000" w:rsidDel="00000000" w:rsidP="00000000" w:rsidRDefault="00000000" w:rsidRPr="00000000" w14:paraId="0000002E">
            <w:pPr>
              <w:jc w:val="center"/>
              <w:rPr>
                <w:sz w:val="18"/>
                <w:szCs w:val="18"/>
              </w:rPr>
            </w:pPr>
            <w:r w:rsidDel="00000000" w:rsidR="00000000" w:rsidRPr="00000000">
              <w:rPr>
                <w:sz w:val="18"/>
                <w:szCs w:val="18"/>
                <w:rtl w:val="0"/>
              </w:rPr>
              <w:t xml:space="preserve">Tidak Setuju</w:t>
            </w:r>
          </w:p>
        </w:tc>
        <w:tc>
          <w:tcPr>
            <w:vAlign w:val="center"/>
          </w:tcPr>
          <w:p w:rsidR="00000000" w:rsidDel="00000000" w:rsidP="00000000" w:rsidRDefault="00000000" w:rsidRPr="00000000" w14:paraId="0000002F">
            <w:pPr>
              <w:jc w:val="center"/>
              <w:rPr>
                <w:sz w:val="18"/>
                <w:szCs w:val="18"/>
              </w:rPr>
            </w:pPr>
            <w:r w:rsidDel="00000000" w:rsidR="00000000" w:rsidRPr="00000000">
              <w:rPr>
                <w:sz w:val="18"/>
                <w:szCs w:val="18"/>
                <w:rtl w:val="0"/>
              </w:rPr>
              <w:t xml:space="preserve">Netral</w:t>
            </w:r>
          </w:p>
        </w:tc>
        <w:tc>
          <w:tcPr>
            <w:vAlign w:val="center"/>
          </w:tcPr>
          <w:p w:rsidR="00000000" w:rsidDel="00000000" w:rsidP="00000000" w:rsidRDefault="00000000" w:rsidRPr="00000000" w14:paraId="00000030">
            <w:pPr>
              <w:jc w:val="center"/>
              <w:rPr>
                <w:sz w:val="18"/>
                <w:szCs w:val="18"/>
              </w:rPr>
            </w:pPr>
            <w:r w:rsidDel="00000000" w:rsidR="00000000" w:rsidRPr="00000000">
              <w:rPr>
                <w:sz w:val="18"/>
                <w:szCs w:val="18"/>
                <w:rtl w:val="0"/>
              </w:rPr>
              <w:t xml:space="preserve">Setuju</w:t>
            </w:r>
          </w:p>
        </w:tc>
        <w:tc>
          <w:tcPr>
            <w:vAlign w:val="center"/>
          </w:tcPr>
          <w:p w:rsidR="00000000" w:rsidDel="00000000" w:rsidP="00000000" w:rsidRDefault="00000000" w:rsidRPr="00000000" w14:paraId="00000031">
            <w:pPr>
              <w:jc w:val="center"/>
              <w:rPr>
                <w:sz w:val="18"/>
                <w:szCs w:val="18"/>
              </w:rPr>
            </w:pPr>
            <w:r w:rsidDel="00000000" w:rsidR="00000000" w:rsidRPr="00000000">
              <w:rPr>
                <w:sz w:val="18"/>
                <w:szCs w:val="18"/>
                <w:rtl w:val="0"/>
              </w:rPr>
              <w:t xml:space="preserve">Sangat Tidak Setuju</w:t>
            </w:r>
          </w:p>
        </w:tc>
      </w:tr>
      <w:tr>
        <w:trPr>
          <w:cantSplit w:val="0"/>
          <w:trHeight w:val="243" w:hRule="atLeast"/>
          <w:tblHeader w:val="0"/>
        </w:trPr>
        <w:tc>
          <w:tcPr>
            <w:vAlign w:val="center"/>
          </w:tcPr>
          <w:p w:rsidR="00000000" w:rsidDel="00000000" w:rsidP="00000000" w:rsidRDefault="00000000" w:rsidRPr="00000000" w14:paraId="00000032">
            <w:pPr>
              <w:rPr>
                <w:sz w:val="18"/>
                <w:szCs w:val="18"/>
              </w:rPr>
            </w:pPr>
            <w:r w:rsidDel="00000000" w:rsidR="00000000" w:rsidRPr="00000000">
              <w:rPr>
                <w:sz w:val="18"/>
                <w:szCs w:val="18"/>
                <w:rtl w:val="0"/>
              </w:rPr>
              <w:t xml:space="preserve">Positif</w:t>
            </w:r>
          </w:p>
        </w:tc>
        <w:tc>
          <w:tcPr>
            <w:vAlign w:val="center"/>
          </w:tcPr>
          <w:p w:rsidR="00000000" w:rsidDel="00000000" w:rsidP="00000000" w:rsidRDefault="00000000" w:rsidRPr="00000000" w14:paraId="00000033">
            <w:pPr>
              <w:jc w:val="center"/>
              <w:rPr>
                <w:sz w:val="18"/>
                <w:szCs w:val="18"/>
              </w:rPr>
            </w:pPr>
            <w:r w:rsidDel="00000000" w:rsidR="00000000" w:rsidRPr="00000000">
              <w:rPr>
                <w:sz w:val="18"/>
                <w:szCs w:val="18"/>
                <w:rtl w:val="0"/>
              </w:rPr>
              <w:t xml:space="preserve">1</w:t>
            </w:r>
          </w:p>
        </w:tc>
        <w:tc>
          <w:tcPr>
            <w:vAlign w:val="center"/>
          </w:tcPr>
          <w:p w:rsidR="00000000" w:rsidDel="00000000" w:rsidP="00000000" w:rsidRDefault="00000000" w:rsidRPr="00000000" w14:paraId="00000034">
            <w:pPr>
              <w:jc w:val="center"/>
              <w:rPr>
                <w:sz w:val="18"/>
                <w:szCs w:val="18"/>
              </w:rPr>
            </w:pPr>
            <w:r w:rsidDel="00000000" w:rsidR="00000000" w:rsidRPr="00000000">
              <w:rPr>
                <w:sz w:val="18"/>
                <w:szCs w:val="18"/>
                <w:rtl w:val="0"/>
              </w:rPr>
              <w:t xml:space="preserve">2</w:t>
            </w:r>
          </w:p>
        </w:tc>
        <w:tc>
          <w:tcPr>
            <w:vAlign w:val="center"/>
          </w:tcPr>
          <w:p w:rsidR="00000000" w:rsidDel="00000000" w:rsidP="00000000" w:rsidRDefault="00000000" w:rsidRPr="00000000" w14:paraId="00000035">
            <w:pPr>
              <w:jc w:val="center"/>
              <w:rPr>
                <w:sz w:val="18"/>
                <w:szCs w:val="18"/>
              </w:rPr>
            </w:pPr>
            <w:r w:rsidDel="00000000" w:rsidR="00000000" w:rsidRPr="00000000">
              <w:rPr>
                <w:sz w:val="18"/>
                <w:szCs w:val="18"/>
                <w:rtl w:val="0"/>
              </w:rPr>
              <w:t xml:space="preserve">3</w:t>
            </w:r>
          </w:p>
        </w:tc>
        <w:tc>
          <w:tcPr>
            <w:vAlign w:val="center"/>
          </w:tcPr>
          <w:p w:rsidR="00000000" w:rsidDel="00000000" w:rsidP="00000000" w:rsidRDefault="00000000" w:rsidRPr="00000000" w14:paraId="00000036">
            <w:pPr>
              <w:jc w:val="center"/>
              <w:rPr>
                <w:sz w:val="18"/>
                <w:szCs w:val="18"/>
              </w:rPr>
            </w:pPr>
            <w:r w:rsidDel="00000000" w:rsidR="00000000" w:rsidRPr="00000000">
              <w:rPr>
                <w:sz w:val="18"/>
                <w:szCs w:val="18"/>
                <w:rtl w:val="0"/>
              </w:rPr>
              <w:t xml:space="preserve">4</w:t>
            </w:r>
          </w:p>
        </w:tc>
        <w:tc>
          <w:tcPr>
            <w:vAlign w:val="center"/>
          </w:tcPr>
          <w:p w:rsidR="00000000" w:rsidDel="00000000" w:rsidP="00000000" w:rsidRDefault="00000000" w:rsidRPr="00000000" w14:paraId="00000037">
            <w:pPr>
              <w:jc w:val="center"/>
              <w:rPr>
                <w:sz w:val="18"/>
                <w:szCs w:val="18"/>
              </w:rPr>
            </w:pPr>
            <w:r w:rsidDel="00000000" w:rsidR="00000000" w:rsidRPr="00000000">
              <w:rPr>
                <w:sz w:val="18"/>
                <w:szCs w:val="18"/>
                <w:rtl w:val="0"/>
              </w:rPr>
              <w:t xml:space="preserve">5</w:t>
            </w:r>
          </w:p>
        </w:tc>
      </w:tr>
      <w:tr>
        <w:trPr>
          <w:cantSplit w:val="0"/>
          <w:trHeight w:val="243" w:hRule="atLeast"/>
          <w:tblHeader w:val="0"/>
        </w:trPr>
        <w:tc>
          <w:tcPr>
            <w:vAlign w:val="center"/>
          </w:tcPr>
          <w:p w:rsidR="00000000" w:rsidDel="00000000" w:rsidP="00000000" w:rsidRDefault="00000000" w:rsidRPr="00000000" w14:paraId="00000038">
            <w:pPr>
              <w:rPr>
                <w:sz w:val="18"/>
                <w:szCs w:val="18"/>
              </w:rPr>
            </w:pPr>
            <w:r w:rsidDel="00000000" w:rsidR="00000000" w:rsidRPr="00000000">
              <w:rPr>
                <w:sz w:val="18"/>
                <w:szCs w:val="18"/>
                <w:rtl w:val="0"/>
              </w:rPr>
              <w:t xml:space="preserve">Negatif</w:t>
            </w:r>
          </w:p>
        </w:tc>
        <w:tc>
          <w:tcPr>
            <w:vAlign w:val="center"/>
          </w:tcPr>
          <w:p w:rsidR="00000000" w:rsidDel="00000000" w:rsidP="00000000" w:rsidRDefault="00000000" w:rsidRPr="00000000" w14:paraId="00000039">
            <w:pPr>
              <w:jc w:val="center"/>
              <w:rPr>
                <w:sz w:val="18"/>
                <w:szCs w:val="18"/>
              </w:rPr>
            </w:pPr>
            <w:r w:rsidDel="00000000" w:rsidR="00000000" w:rsidRPr="00000000">
              <w:rPr>
                <w:sz w:val="18"/>
                <w:szCs w:val="18"/>
                <w:rtl w:val="0"/>
              </w:rPr>
              <w:t xml:space="preserve">5</w:t>
            </w:r>
          </w:p>
        </w:tc>
        <w:tc>
          <w:tcPr>
            <w:vAlign w:val="center"/>
          </w:tcPr>
          <w:p w:rsidR="00000000" w:rsidDel="00000000" w:rsidP="00000000" w:rsidRDefault="00000000" w:rsidRPr="00000000" w14:paraId="0000003A">
            <w:pPr>
              <w:jc w:val="center"/>
              <w:rPr>
                <w:sz w:val="18"/>
                <w:szCs w:val="18"/>
              </w:rPr>
            </w:pPr>
            <w:r w:rsidDel="00000000" w:rsidR="00000000" w:rsidRPr="00000000">
              <w:rPr>
                <w:sz w:val="18"/>
                <w:szCs w:val="18"/>
                <w:rtl w:val="0"/>
              </w:rPr>
              <w:t xml:space="preserve">4</w:t>
            </w:r>
          </w:p>
        </w:tc>
        <w:tc>
          <w:tcPr>
            <w:vAlign w:val="center"/>
          </w:tcPr>
          <w:p w:rsidR="00000000" w:rsidDel="00000000" w:rsidP="00000000" w:rsidRDefault="00000000" w:rsidRPr="00000000" w14:paraId="0000003B">
            <w:pPr>
              <w:jc w:val="center"/>
              <w:rPr>
                <w:sz w:val="18"/>
                <w:szCs w:val="18"/>
              </w:rPr>
            </w:pPr>
            <w:r w:rsidDel="00000000" w:rsidR="00000000" w:rsidRPr="00000000">
              <w:rPr>
                <w:sz w:val="18"/>
                <w:szCs w:val="18"/>
                <w:rtl w:val="0"/>
              </w:rPr>
              <w:t xml:space="preserve">3</w:t>
            </w:r>
          </w:p>
        </w:tc>
        <w:tc>
          <w:tcPr>
            <w:vAlign w:val="center"/>
          </w:tcPr>
          <w:p w:rsidR="00000000" w:rsidDel="00000000" w:rsidP="00000000" w:rsidRDefault="00000000" w:rsidRPr="00000000" w14:paraId="0000003C">
            <w:pPr>
              <w:jc w:val="center"/>
              <w:rPr>
                <w:sz w:val="18"/>
                <w:szCs w:val="18"/>
              </w:rPr>
            </w:pPr>
            <w:r w:rsidDel="00000000" w:rsidR="00000000" w:rsidRPr="00000000">
              <w:rPr>
                <w:sz w:val="18"/>
                <w:szCs w:val="18"/>
                <w:rtl w:val="0"/>
              </w:rPr>
              <w:t xml:space="preserve">2</w:t>
            </w:r>
          </w:p>
        </w:tc>
        <w:tc>
          <w:tcPr>
            <w:vAlign w:val="center"/>
          </w:tcPr>
          <w:p w:rsidR="00000000" w:rsidDel="00000000" w:rsidP="00000000" w:rsidRDefault="00000000" w:rsidRPr="00000000" w14:paraId="0000003D">
            <w:pPr>
              <w:jc w:val="center"/>
              <w:rPr>
                <w:sz w:val="18"/>
                <w:szCs w:val="18"/>
              </w:rPr>
            </w:pPr>
            <w:r w:rsidDel="00000000" w:rsidR="00000000" w:rsidRPr="00000000">
              <w:rPr>
                <w:sz w:val="18"/>
                <w:szCs w:val="18"/>
                <w:rtl w:val="0"/>
              </w:rPr>
              <w:t xml:space="preserve">1</w:t>
            </w:r>
          </w:p>
        </w:tc>
      </w:tr>
    </w:tbl>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23" w:before="118" w:lineRule="auto"/>
        <w:ind w:right="4" w:firstLine="720"/>
        <w:jc w:val="both"/>
        <w:rPr>
          <w:color w:val="000000"/>
        </w:rPr>
      </w:pPr>
      <w:r w:rsidDel="00000000" w:rsidR="00000000" w:rsidRPr="00000000">
        <w:rPr>
          <w:color w:val="000000"/>
          <w:rtl w:val="0"/>
        </w:rPr>
        <w:t xml:space="preserve">Pada dimensi </w:t>
      </w:r>
      <w:r w:rsidDel="00000000" w:rsidR="00000000" w:rsidRPr="00000000">
        <w:rPr>
          <w:i w:val="1"/>
          <w:iCs w:val="1"/>
          <w:color w:val="000000"/>
          <w:rtl w:val="0"/>
        </w:rPr>
        <w:t xml:space="preserve">amotivation</w:t>
      </w:r>
      <w:r w:rsidDel="00000000" w:rsidR="00000000" w:rsidRPr="00000000">
        <w:rPr>
          <w:color w:val="000000"/>
          <w:rtl w:val="0"/>
        </w:rPr>
        <w:t xml:space="preserve">, definisi operasionalnya mencakup pernyataan negatif, maka sebelum pengelolaan data, hasil skor dibalik. Selanjutnya, teknik analisis data dilakukan melalui tiga tahap utama. Pertama, pengujian kualitas data yang mencakup validitas dan reliabilitas dilakukan menggunakan perangkat lunak SmartPLS 4 (Hair et al., 2021). Tahap ini bertujuan untuk memastikan </w:t>
      </w:r>
      <w:r w:rsidDel="00000000" w:rsidR="00000000" w:rsidRPr="00000000">
        <w:rPr>
          <w:i w:val="1"/>
          <w:iCs w:val="1"/>
          <w:color w:val="000000"/>
          <w:rtl w:val="0"/>
        </w:rPr>
        <w:t xml:space="preserve">indicator reliability</w:t>
      </w:r>
      <w:r w:rsidDel="00000000" w:rsidR="00000000" w:rsidRPr="00000000">
        <w:rPr>
          <w:color w:val="000000"/>
          <w:rtl w:val="0"/>
        </w:rPr>
        <w:t xml:space="preserve"> (</w:t>
      </w:r>
      <w:r w:rsidDel="00000000" w:rsidR="00000000" w:rsidRPr="00000000">
        <w:rPr>
          <w:i w:val="1"/>
          <w:iCs w:val="1"/>
          <w:color w:val="000000"/>
          <w:rtl w:val="0"/>
        </w:rPr>
        <w:t xml:space="preserve">outer loading</w:t>
      </w:r>
      <w:r w:rsidDel="00000000" w:rsidR="00000000" w:rsidRPr="00000000">
        <w:rPr>
          <w:color w:val="000000"/>
          <w:rtl w:val="0"/>
        </w:rPr>
        <w:t xml:space="preserve">), </w:t>
      </w:r>
      <w:r w:rsidDel="00000000" w:rsidR="00000000" w:rsidRPr="00000000">
        <w:rPr>
          <w:i w:val="1"/>
          <w:iCs w:val="1"/>
          <w:color w:val="000000"/>
          <w:rtl w:val="0"/>
        </w:rPr>
        <w:t xml:space="preserve">internal consistency</w:t>
      </w:r>
      <w:r w:rsidDel="00000000" w:rsidR="00000000" w:rsidRPr="00000000">
        <w:rPr>
          <w:color w:val="000000"/>
          <w:rtl w:val="0"/>
        </w:rPr>
        <w:t xml:space="preserve">, dan </w:t>
      </w:r>
      <w:r w:rsidDel="00000000" w:rsidR="00000000" w:rsidRPr="00000000">
        <w:rPr>
          <w:i w:val="1"/>
          <w:iCs w:val="1"/>
          <w:color w:val="000000"/>
          <w:rtl w:val="0"/>
        </w:rPr>
        <w:t xml:space="preserve">convergent validity</w:t>
      </w:r>
      <w:r w:rsidDel="00000000" w:rsidR="00000000" w:rsidRPr="00000000">
        <w:rPr>
          <w:color w:val="000000"/>
          <w:rtl w:val="0"/>
        </w:rPr>
        <w:t xml:space="preserve"> dari instrumen penelitian. Kedua, pola sebaran jawaban dianalisis secara deskriptif menggunakan perangkat lunak JSAP untuk memvisualisasi </w:t>
      </w:r>
      <w:r w:rsidDel="00000000" w:rsidR="00000000" w:rsidRPr="00000000">
        <w:rPr>
          <w:i w:val="1"/>
          <w:iCs w:val="1"/>
          <w:color w:val="000000"/>
          <w:rtl w:val="0"/>
        </w:rPr>
        <w:t xml:space="preserve">raincloud plot</w:t>
      </w:r>
      <w:r w:rsidDel="00000000" w:rsidR="00000000" w:rsidRPr="00000000">
        <w:rPr>
          <w:color w:val="000000"/>
          <w:rtl w:val="0"/>
        </w:rPr>
        <w:t xml:space="preserve"> yang mengintegrasikan estimasi </w:t>
      </w:r>
      <w:r w:rsidDel="00000000" w:rsidR="00000000" w:rsidRPr="00000000">
        <w:rPr>
          <w:i w:val="1"/>
          <w:iCs w:val="1"/>
          <w:color w:val="000000"/>
          <w:rtl w:val="0"/>
        </w:rPr>
        <w:t xml:space="preserve">kernel density</w:t>
      </w:r>
      <w:r w:rsidDel="00000000" w:rsidR="00000000" w:rsidRPr="00000000">
        <w:rPr>
          <w:color w:val="000000"/>
          <w:rtl w:val="0"/>
        </w:rPr>
        <w:t xml:space="preserve">, </w:t>
      </w:r>
      <w:r w:rsidDel="00000000" w:rsidR="00000000" w:rsidRPr="00000000">
        <w:rPr>
          <w:i w:val="1"/>
          <w:iCs w:val="1"/>
          <w:color w:val="000000"/>
          <w:rtl w:val="0"/>
        </w:rPr>
        <w:t xml:space="preserve">box plot</w:t>
      </w:r>
      <w:r w:rsidDel="00000000" w:rsidR="00000000" w:rsidRPr="00000000">
        <w:rPr>
          <w:color w:val="000000"/>
          <w:rtl w:val="0"/>
        </w:rPr>
        <w:t xml:space="preserve">, dan sebaran data individual untuk memberikan gambaran komprehensif mengenai persepsi kru kapal Ott et al. (2025). Ketiga, perangkat lunak Microsoft Excel digunakan untuk memproses data menjadi </w:t>
      </w:r>
      <w:r w:rsidDel="00000000" w:rsidR="00000000" w:rsidRPr="00000000">
        <w:rPr>
          <w:i w:val="1"/>
          <w:iCs w:val="1"/>
          <w:color w:val="000000"/>
          <w:rtl w:val="0"/>
        </w:rPr>
        <w:t xml:space="preserve">radar chart</w:t>
      </w:r>
      <w:r w:rsidDel="00000000" w:rsidR="00000000" w:rsidRPr="00000000">
        <w:rPr>
          <w:color w:val="000000"/>
          <w:rtl w:val="0"/>
        </w:rPr>
        <w:t xml:space="preserve"> guna mengidentifikasi perbandingan dominasi antar dimensi </w:t>
      </w:r>
      <w:r w:rsidDel="00000000" w:rsidR="00000000" w:rsidRPr="00000000">
        <w:rPr>
          <w:i w:val="1"/>
          <w:iCs w:val="1"/>
          <w:color w:val="000000"/>
          <w:rtl w:val="0"/>
        </w:rPr>
        <w:t xml:space="preserve">safety motivation</w:t>
      </w:r>
      <w:r w:rsidDel="00000000" w:rsidR="00000000" w:rsidRPr="00000000">
        <w:rPr>
          <w:color w:val="000000"/>
          <w:rtl w:val="0"/>
        </w:rPr>
        <w:t xml:space="preserve"> secara visual.</w:t>
      </w:r>
    </w:p>
    <w:p w:rsidR="00000000" w:rsidDel="00000000" w:rsidP="00000000" w:rsidRDefault="00000000" w:rsidRPr="00000000" w14:paraId="0000003F">
      <w:pPr>
        <w:numPr>
          <w:ilvl w:val="0"/>
          <w:numId w:val="1"/>
        </w:numPr>
        <w:tabs>
          <w:tab w:val="left" w:leader="none" w:pos="131"/>
        </w:tabs>
        <w:spacing w:before="240" w:lineRule="auto"/>
        <w:ind w:left="0" w:right="4" w:firstLine="0"/>
        <w:jc w:val="both"/>
        <w:rPr/>
      </w:pPr>
      <w:r w:rsidDel="00000000" w:rsidR="00000000" w:rsidRPr="00000000">
        <w:rPr>
          <w:b w:val="1"/>
          <w:bCs w:val="1"/>
          <w:rtl w:val="0"/>
        </w:rPr>
        <w:t xml:space="preserve">HASIL DAN PEMBAHASAN </w:t>
      </w:r>
      <w:r w:rsidDel="00000000" w:rsidR="00000000" w:rsidRPr="00000000">
        <w:rPr>
          <w:rtl w:val="0"/>
        </w:rPr>
      </w:r>
    </w:p>
    <w:p w:rsidR="00000000" w:rsidDel="00000000" w:rsidP="00000000" w:rsidRDefault="00000000" w:rsidRPr="00000000" w14:paraId="00000040">
      <w:pPr>
        <w:tabs>
          <w:tab w:val="left" w:leader="none" w:pos="131"/>
        </w:tabs>
        <w:spacing w:before="240" w:lineRule="auto"/>
        <w:ind w:right="4" w:firstLine="900"/>
        <w:jc w:val="both"/>
        <w:rPr/>
      </w:pPr>
      <w:r w:rsidDel="00000000" w:rsidR="00000000" w:rsidRPr="00000000">
        <w:rPr>
          <w:rtl w:val="0"/>
        </w:rPr>
        <w:t xml:space="preserve">Data penelitian dikumpulkan dari 217 kru kapal yang bertugas pada armada </w:t>
      </w:r>
      <w:r w:rsidDel="00000000" w:rsidR="00000000" w:rsidRPr="00000000">
        <w:rPr>
          <w:i w:val="1"/>
          <w:iCs w:val="1"/>
          <w:rtl w:val="0"/>
        </w:rPr>
        <w:t xml:space="preserve">floating crane</w:t>
      </w:r>
      <w:r w:rsidDel="00000000" w:rsidR="00000000" w:rsidRPr="00000000">
        <w:rPr>
          <w:rtl w:val="0"/>
        </w:rPr>
        <w:t xml:space="preserve"> dan </w:t>
      </w:r>
      <w:r w:rsidDel="00000000" w:rsidR="00000000" w:rsidRPr="00000000">
        <w:rPr>
          <w:i w:val="1"/>
          <w:iCs w:val="1"/>
          <w:rtl w:val="0"/>
        </w:rPr>
        <w:t xml:space="preserve">tug boat</w:t>
      </w:r>
      <w:r w:rsidDel="00000000" w:rsidR="00000000" w:rsidRPr="00000000">
        <w:rPr>
          <w:rtl w:val="0"/>
        </w:rPr>
        <w:t xml:space="preserve">, dengan posisi kerja yang bervariasi mulai dari </w:t>
      </w:r>
      <w:r w:rsidDel="00000000" w:rsidR="00000000" w:rsidRPr="00000000">
        <w:rPr>
          <w:i w:val="1"/>
          <w:iCs w:val="1"/>
          <w:rtl w:val="0"/>
        </w:rPr>
        <w:t xml:space="preserve">rating</w:t>
      </w:r>
      <w:r w:rsidDel="00000000" w:rsidR="00000000" w:rsidRPr="00000000">
        <w:rPr>
          <w:rtl w:val="0"/>
        </w:rPr>
        <w:t xml:space="preserve">, </w:t>
      </w:r>
      <w:r w:rsidDel="00000000" w:rsidR="00000000" w:rsidRPr="00000000">
        <w:rPr>
          <w:i w:val="1"/>
          <w:iCs w:val="1"/>
          <w:rtl w:val="0"/>
        </w:rPr>
        <w:t xml:space="preserve">crane operator</w:t>
      </w:r>
      <w:r w:rsidDel="00000000" w:rsidR="00000000" w:rsidRPr="00000000">
        <w:rPr>
          <w:rtl w:val="0"/>
        </w:rPr>
        <w:t xml:space="preserve">, perwira </w:t>
      </w:r>
      <w:r w:rsidDel="00000000" w:rsidR="00000000" w:rsidRPr="00000000">
        <w:rPr>
          <w:i w:val="1"/>
          <w:iCs w:val="1"/>
          <w:rtl w:val="0"/>
        </w:rPr>
        <w:t xml:space="preserve">deck</w:t>
      </w:r>
      <w:r w:rsidDel="00000000" w:rsidR="00000000" w:rsidRPr="00000000">
        <w:rPr>
          <w:rtl w:val="0"/>
        </w:rPr>
        <w:t xml:space="preserve">, perwira </w:t>
      </w:r>
      <w:r w:rsidDel="00000000" w:rsidR="00000000" w:rsidRPr="00000000">
        <w:rPr>
          <w:i w:val="1"/>
          <w:iCs w:val="1"/>
          <w:rtl w:val="0"/>
        </w:rPr>
        <w:t xml:space="preserve">engine</w:t>
      </w:r>
      <w:r w:rsidDel="00000000" w:rsidR="00000000" w:rsidRPr="00000000">
        <w:rPr>
          <w:rtl w:val="0"/>
        </w:rPr>
        <w:t xml:space="preserve">, hingga </w:t>
      </w:r>
      <w:r w:rsidDel="00000000" w:rsidR="00000000" w:rsidRPr="00000000">
        <w:rPr>
          <w:i w:val="1"/>
          <w:iCs w:val="1"/>
          <w:rtl w:val="0"/>
        </w:rPr>
        <w:t xml:space="preserve">Master</w:t>
      </w:r>
      <w:r w:rsidDel="00000000" w:rsidR="00000000" w:rsidRPr="00000000">
        <w:rPr>
          <w:rtl w:val="0"/>
        </w:rPr>
        <w:t xml:space="preserve">. Hasil pengujian validitas dan reliabilitas instrumen </w:t>
      </w:r>
      <w:r w:rsidDel="00000000" w:rsidR="00000000" w:rsidRPr="00000000">
        <w:rPr>
          <w:i w:val="1"/>
          <w:iCs w:val="1"/>
          <w:rtl w:val="0"/>
        </w:rPr>
        <w:t xml:space="preserve">Self-Determined Safety Motivation Scale</w:t>
      </w:r>
      <w:r w:rsidDel="00000000" w:rsidR="00000000" w:rsidRPr="00000000">
        <w:rPr>
          <w:rtl w:val="0"/>
        </w:rPr>
        <w:t xml:space="preserve"> dengan SmartPLS menunjukkan bahwa seluruh 20 indikator pada kelima dimensi </w:t>
      </w:r>
      <w:r w:rsidDel="00000000" w:rsidR="00000000" w:rsidRPr="00000000">
        <w:rPr>
          <w:i w:val="1"/>
          <w:iCs w:val="1"/>
          <w:rtl w:val="0"/>
        </w:rPr>
        <w:t xml:space="preserve">safety motivation</w:t>
      </w:r>
      <w:r w:rsidDel="00000000" w:rsidR="00000000" w:rsidRPr="00000000">
        <w:rPr>
          <w:rtl w:val="0"/>
        </w:rPr>
        <w:t xml:space="preserve"> memiliki </w:t>
      </w:r>
      <w:r w:rsidDel="00000000" w:rsidR="00000000" w:rsidRPr="00000000">
        <w:rPr>
          <w:i w:val="1"/>
          <w:iCs w:val="1"/>
          <w:rtl w:val="0"/>
        </w:rPr>
        <w:t xml:space="preserve">outer loading</w:t>
      </w:r>
      <w:r w:rsidDel="00000000" w:rsidR="00000000" w:rsidRPr="00000000">
        <w:rPr>
          <w:rtl w:val="0"/>
        </w:rPr>
        <w:t xml:space="preserve"> di atas ambang 0,708, dengan estimasi tertinggi pada MO_AMO (0,899–0,961) dan terendah pada MOT_EXT4 (0,814). Nilai </w:t>
      </w:r>
      <w:r w:rsidDel="00000000" w:rsidR="00000000" w:rsidRPr="00000000">
        <w:rPr>
          <w:i w:val="1"/>
          <w:iCs w:val="1"/>
          <w:rtl w:val="0"/>
        </w:rPr>
        <w:t xml:space="preserve">cronbach's alpha</w:t>
      </w:r>
      <w:r w:rsidDel="00000000" w:rsidR="00000000" w:rsidRPr="00000000">
        <w:rPr>
          <w:rtl w:val="0"/>
        </w:rPr>
        <w:t xml:space="preserve">, </w:t>
      </w:r>
      <w:r w:rsidDel="00000000" w:rsidR="00000000" w:rsidRPr="00000000">
        <w:rPr>
          <w:i w:val="1"/>
          <w:iCs w:val="1"/>
          <w:rtl w:val="0"/>
        </w:rPr>
        <w:t xml:space="preserve">composite reliability</w:t>
      </w:r>
      <w:r w:rsidDel="00000000" w:rsidR="00000000" w:rsidRPr="00000000">
        <w:rPr>
          <w:rtl w:val="0"/>
        </w:rPr>
        <w:t xml:space="preserve"> (ρ_a dan ρ_c), serta </w:t>
      </w:r>
      <w:r w:rsidDel="00000000" w:rsidR="00000000" w:rsidRPr="00000000">
        <w:rPr>
          <w:i w:val="1"/>
          <w:iCs w:val="1"/>
          <w:rtl w:val="0"/>
        </w:rPr>
        <w:t xml:space="preserve">average variance extracted</w:t>
      </w:r>
      <w:r w:rsidDel="00000000" w:rsidR="00000000" w:rsidRPr="00000000">
        <w:rPr>
          <w:rtl w:val="0"/>
        </w:rPr>
        <w:t xml:space="preserve"> (AVE) kelima dimensi tersebut juga berada pada kategori memadai hingga sangat tinggi, dengan AVE berkisar antara 0,741 (MOT_EXT) hingga 0,891 (MO_AMO). Pengujian </w:t>
      </w:r>
      <w:r w:rsidDel="00000000" w:rsidR="00000000" w:rsidRPr="00000000">
        <w:rPr>
          <w:i w:val="1"/>
          <w:iCs w:val="1"/>
          <w:rtl w:val="0"/>
        </w:rPr>
        <w:t xml:space="preserve">discriminant validity</w:t>
      </w:r>
      <w:r w:rsidDel="00000000" w:rsidR="00000000" w:rsidRPr="00000000">
        <w:rPr>
          <w:rtl w:val="0"/>
        </w:rPr>
        <w:t xml:space="preserve"> melalui kriteria HTMT menunjukkan bahwa seluruh pasangan dimensi </w:t>
      </w:r>
      <w:r w:rsidDel="00000000" w:rsidR="00000000" w:rsidRPr="00000000">
        <w:rPr>
          <w:i w:val="1"/>
          <w:iCs w:val="1"/>
          <w:rtl w:val="0"/>
        </w:rPr>
        <w:t xml:space="preserve">safety motivation</w:t>
      </w:r>
      <w:r w:rsidDel="00000000" w:rsidR="00000000" w:rsidRPr="00000000">
        <w:rPr>
          <w:rtl w:val="0"/>
        </w:rPr>
        <w:t xml:space="preserve"> berada di bawah ambang batas 0,90, kecuali pasangan MOT_IDE–MOT_INJ (0,866) yang tetap berada dalam rentang yang dapat diterima sehingga seluruh dimensi dinyatakan valid dan reliabel untuk dianalisis lebih lanjut. Gambaran umum persepsi responden terhadap variabel </w:t>
      </w:r>
      <w:r w:rsidDel="00000000" w:rsidR="00000000" w:rsidRPr="00000000">
        <w:rPr>
          <w:i w:val="1"/>
          <w:iCs w:val="1"/>
          <w:rtl w:val="0"/>
        </w:rPr>
        <w:t xml:space="preserve">safety motivation</w:t>
      </w:r>
      <w:r w:rsidDel="00000000" w:rsidR="00000000" w:rsidRPr="00000000">
        <w:rPr>
          <w:rtl w:val="0"/>
        </w:rPr>
        <w:t xml:space="preserve"> disajikan melalui statistik deskriptif berupa nilai </w:t>
      </w:r>
      <w:r w:rsidDel="00000000" w:rsidR="00000000" w:rsidRPr="00000000">
        <w:rPr>
          <w:i w:val="1"/>
          <w:iCs w:val="1"/>
          <w:rtl w:val="0"/>
        </w:rPr>
        <w:t xml:space="preserve">mean</w:t>
      </w:r>
      <w:r w:rsidDel="00000000" w:rsidR="00000000" w:rsidRPr="00000000">
        <w:rPr>
          <w:rtl w:val="0"/>
        </w:rPr>
        <w:t xml:space="preserve"> (M) dan </w:t>
      </w:r>
      <w:r w:rsidDel="00000000" w:rsidR="00000000" w:rsidRPr="00000000">
        <w:rPr>
          <w:i w:val="1"/>
          <w:iCs w:val="1"/>
          <w:rtl w:val="0"/>
        </w:rPr>
        <w:t xml:space="preserve">standard deviation</w:t>
      </w:r>
      <w:r w:rsidDel="00000000" w:rsidR="00000000" w:rsidRPr="00000000">
        <w:rPr>
          <w:rtl w:val="0"/>
        </w:rPr>
        <w:t xml:space="preserve"> (SD) pada Tabel 2, yang mencakup 21 indikator dari lima dimensi sesuai kerangka </w:t>
      </w:r>
      <w:r w:rsidDel="00000000" w:rsidR="00000000" w:rsidRPr="00000000">
        <w:rPr>
          <w:i w:val="1"/>
          <w:iCs w:val="1"/>
          <w:rtl w:val="0"/>
        </w:rPr>
        <w:t xml:space="preserve">self-determination theory</w:t>
      </w:r>
      <w:r w:rsidDel="00000000" w:rsidR="00000000" w:rsidRPr="00000000">
        <w:rPr>
          <w:rtl w:val="0"/>
        </w:rPr>
        <w:t xml:space="preserve"> (Fleming, 2012; Ryan &amp; Deci, 2000).</w:t>
      </w:r>
    </w:p>
    <w:bookmarkStart w:colFirst="0" w:colLast="0" w:name="bookmark=id.ajd22kh1cny2" w:id="4"/>
    <w:bookmarkEnd w:id="4"/>
    <w:p w:rsidR="00000000" w:rsidDel="00000000" w:rsidP="00000000" w:rsidRDefault="00000000" w:rsidRPr="00000000" w14:paraId="00000041">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Tabel 2.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Statistik Deskriptif Indikator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Motivation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 = 217)</w:t>
      </w:r>
    </w:p>
    <w:tbl>
      <w:tblPr>
        <w:tblStyle w:val="Table2"/>
        <w:tblW w:w="8979.0" w:type="dxa"/>
        <w:jc w:val="left"/>
        <w:tblInd w:w="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2416"/>
        <w:gridCol w:w="1290"/>
        <w:gridCol w:w="922"/>
        <w:gridCol w:w="1475"/>
        <w:tblGridChange w:id="0">
          <w:tblGrid>
            <w:gridCol w:w="2876"/>
            <w:gridCol w:w="2416"/>
            <w:gridCol w:w="1290"/>
            <w:gridCol w:w="922"/>
            <w:gridCol w:w="1475"/>
          </w:tblGrid>
        </w:tblGridChange>
      </w:tblGrid>
      <w:tr>
        <w:trPr>
          <w:cantSplit w:val="0"/>
          <w:trHeight w:val="315" w:hRule="atLeast"/>
          <w:tblHeader w:val="0"/>
        </w:trPr>
        <w:tc>
          <w:tcPr>
            <w:tcBorders>
              <w:bottom w:color="000000" w:space="0" w:sz="4" w:val="single"/>
            </w:tcBorders>
            <w:vAlign w:val="center"/>
          </w:tcPr>
          <w:p w:rsidR="00000000" w:rsidDel="00000000" w:rsidP="00000000" w:rsidRDefault="00000000" w:rsidRPr="00000000" w14:paraId="00000042">
            <w:pPr>
              <w:jc w:val="center"/>
              <w:rPr>
                <w:sz w:val="18"/>
                <w:szCs w:val="18"/>
              </w:rPr>
            </w:pPr>
            <w:r w:rsidDel="00000000" w:rsidR="00000000" w:rsidRPr="00000000">
              <w:rPr>
                <w:sz w:val="18"/>
                <w:szCs w:val="18"/>
                <w:rtl w:val="0"/>
              </w:rPr>
              <w:t xml:space="preserve">Dimensi</w:t>
            </w:r>
          </w:p>
        </w:tc>
        <w:tc>
          <w:tcPr>
            <w:tcBorders>
              <w:bottom w:color="000000" w:space="0" w:sz="4" w:val="single"/>
            </w:tcBorders>
            <w:vAlign w:val="center"/>
          </w:tcPr>
          <w:p w:rsidR="00000000" w:rsidDel="00000000" w:rsidP="00000000" w:rsidRDefault="00000000" w:rsidRPr="00000000" w14:paraId="00000043">
            <w:pPr>
              <w:jc w:val="center"/>
              <w:rPr>
                <w:sz w:val="18"/>
                <w:szCs w:val="18"/>
              </w:rPr>
            </w:pPr>
            <w:r w:rsidDel="00000000" w:rsidR="00000000" w:rsidRPr="00000000">
              <w:rPr>
                <w:sz w:val="18"/>
                <w:szCs w:val="18"/>
                <w:rtl w:val="0"/>
              </w:rPr>
              <w:t xml:space="preserve">Indikator</w:t>
            </w:r>
          </w:p>
        </w:tc>
        <w:tc>
          <w:tcPr>
            <w:tcBorders>
              <w:bottom w:color="000000" w:space="0" w:sz="4" w:val="single"/>
            </w:tcBorders>
            <w:vAlign w:val="center"/>
          </w:tcPr>
          <w:p w:rsidR="00000000" w:rsidDel="00000000" w:rsidP="00000000" w:rsidRDefault="00000000" w:rsidRPr="00000000" w14:paraId="00000044">
            <w:pPr>
              <w:jc w:val="center"/>
              <w:rPr>
                <w:sz w:val="18"/>
                <w:szCs w:val="18"/>
              </w:rPr>
            </w:pPr>
            <w:r w:rsidDel="00000000" w:rsidR="00000000" w:rsidRPr="00000000">
              <w:rPr>
                <w:sz w:val="18"/>
                <w:szCs w:val="18"/>
                <w:rtl w:val="0"/>
              </w:rPr>
              <w:t xml:space="preserve">Rata-rata (M)</w:t>
            </w:r>
          </w:p>
        </w:tc>
        <w:tc>
          <w:tcPr>
            <w:tcBorders>
              <w:bottom w:color="000000" w:space="0" w:sz="4" w:val="single"/>
            </w:tcBorders>
            <w:vAlign w:val="center"/>
          </w:tcPr>
          <w:p w:rsidR="00000000" w:rsidDel="00000000" w:rsidP="00000000" w:rsidRDefault="00000000" w:rsidRPr="00000000" w14:paraId="00000045">
            <w:pPr>
              <w:jc w:val="center"/>
              <w:rPr>
                <w:sz w:val="18"/>
                <w:szCs w:val="18"/>
              </w:rPr>
            </w:pPr>
            <w:r w:rsidDel="00000000" w:rsidR="00000000" w:rsidRPr="00000000">
              <w:rPr>
                <w:sz w:val="18"/>
                <w:szCs w:val="18"/>
                <w:rtl w:val="0"/>
              </w:rPr>
              <w:t xml:space="preserve">SD</w:t>
            </w:r>
          </w:p>
        </w:tc>
        <w:tc>
          <w:tcPr>
            <w:tcBorders>
              <w:bottom w:color="000000" w:space="0" w:sz="4" w:val="single"/>
            </w:tcBorders>
            <w:vAlign w:val="center"/>
          </w:tcPr>
          <w:p w:rsidR="00000000" w:rsidDel="00000000" w:rsidP="00000000" w:rsidRDefault="00000000" w:rsidRPr="00000000" w14:paraId="00000046">
            <w:pPr>
              <w:jc w:val="center"/>
              <w:rPr>
                <w:sz w:val="18"/>
                <w:szCs w:val="18"/>
              </w:rPr>
            </w:pPr>
            <w:r w:rsidDel="00000000" w:rsidR="00000000" w:rsidRPr="00000000">
              <w:rPr>
                <w:sz w:val="18"/>
                <w:szCs w:val="18"/>
                <w:rtl w:val="0"/>
              </w:rPr>
              <w:t xml:space="preserve">Rata-rata per dimensi</w:t>
            </w:r>
          </w:p>
        </w:tc>
      </w:tr>
      <w:tr>
        <w:trPr>
          <w:cantSplit w:val="0"/>
          <w:trHeight w:val="315" w:hRule="atLeast"/>
          <w:tblHeader w:val="0"/>
        </w:trPr>
        <w:tc>
          <w:tcPr>
            <w:vMerge w:val="restart"/>
            <w:vAlign w:val="center"/>
          </w:tcPr>
          <w:p w:rsidR="00000000" w:rsidDel="00000000" w:rsidP="00000000" w:rsidRDefault="00000000" w:rsidRPr="00000000" w14:paraId="00000047">
            <w:pPr>
              <w:rPr>
                <w:sz w:val="18"/>
                <w:szCs w:val="18"/>
              </w:rPr>
            </w:pPr>
            <w:r w:rsidDel="00000000" w:rsidR="00000000" w:rsidRPr="00000000">
              <w:rPr>
                <w:i w:val="1"/>
                <w:iCs w:val="1"/>
                <w:sz w:val="18"/>
                <w:szCs w:val="18"/>
                <w:rtl w:val="0"/>
              </w:rPr>
              <w:t xml:space="preserve">Intrisic Safety Motivatiom </w:t>
            </w:r>
            <w:r w:rsidDel="00000000" w:rsidR="00000000" w:rsidRPr="00000000">
              <w:rPr>
                <w:sz w:val="18"/>
                <w:szCs w:val="18"/>
                <w:rtl w:val="0"/>
              </w:rPr>
              <w:t xml:space="preserve">(MOT_INT)</w:t>
            </w:r>
          </w:p>
        </w:tc>
        <w:tc>
          <w:tcPr>
            <w:vAlign w:val="center"/>
          </w:tcPr>
          <w:p w:rsidR="00000000" w:rsidDel="00000000" w:rsidP="00000000" w:rsidRDefault="00000000" w:rsidRPr="00000000" w14:paraId="00000048">
            <w:pPr>
              <w:jc w:val="center"/>
              <w:rPr>
                <w:sz w:val="18"/>
                <w:szCs w:val="18"/>
              </w:rPr>
            </w:pPr>
            <w:r w:rsidDel="00000000" w:rsidR="00000000" w:rsidRPr="00000000">
              <w:rPr>
                <w:sz w:val="18"/>
                <w:szCs w:val="18"/>
                <w:rtl w:val="0"/>
              </w:rPr>
              <w:t xml:space="preserve">MOT_INT1</w:t>
            </w:r>
          </w:p>
        </w:tc>
        <w:tc>
          <w:tcPr>
            <w:vAlign w:val="center"/>
          </w:tcPr>
          <w:p w:rsidR="00000000" w:rsidDel="00000000" w:rsidP="00000000" w:rsidRDefault="00000000" w:rsidRPr="00000000" w14:paraId="00000049">
            <w:pPr>
              <w:jc w:val="center"/>
              <w:rPr>
                <w:sz w:val="18"/>
                <w:szCs w:val="18"/>
              </w:rPr>
            </w:pPr>
            <w:r w:rsidDel="00000000" w:rsidR="00000000" w:rsidRPr="00000000">
              <w:rPr>
                <w:sz w:val="18"/>
                <w:szCs w:val="18"/>
                <w:rtl w:val="0"/>
              </w:rPr>
              <w:t xml:space="preserve">4.553</w:t>
            </w:r>
          </w:p>
        </w:tc>
        <w:tc>
          <w:tcPr>
            <w:vAlign w:val="center"/>
          </w:tcPr>
          <w:p w:rsidR="00000000" w:rsidDel="00000000" w:rsidP="00000000" w:rsidRDefault="00000000" w:rsidRPr="00000000" w14:paraId="0000004A">
            <w:pPr>
              <w:jc w:val="center"/>
              <w:rPr>
                <w:sz w:val="18"/>
                <w:szCs w:val="18"/>
              </w:rPr>
            </w:pPr>
            <w:r w:rsidDel="00000000" w:rsidR="00000000" w:rsidRPr="00000000">
              <w:rPr>
                <w:sz w:val="18"/>
                <w:szCs w:val="18"/>
                <w:rtl w:val="0"/>
              </w:rPr>
              <w:t xml:space="preserve">0.684</w:t>
            </w:r>
          </w:p>
        </w:tc>
        <w:tc>
          <w:tcPr>
            <w:vMerge w:val="restart"/>
            <w:vAlign w:val="center"/>
          </w:tcPr>
          <w:p w:rsidR="00000000" w:rsidDel="00000000" w:rsidP="00000000" w:rsidRDefault="00000000" w:rsidRPr="00000000" w14:paraId="0000004B">
            <w:pPr>
              <w:jc w:val="center"/>
              <w:rPr>
                <w:sz w:val="18"/>
                <w:szCs w:val="18"/>
              </w:rPr>
            </w:pPr>
            <w:r w:rsidDel="00000000" w:rsidR="00000000" w:rsidRPr="00000000">
              <w:rPr>
                <w:sz w:val="18"/>
                <w:szCs w:val="18"/>
                <w:rtl w:val="0"/>
              </w:rPr>
              <w:t xml:space="preserve">4.60725</w:t>
            </w:r>
          </w:p>
          <w:p w:rsidR="00000000" w:rsidDel="00000000" w:rsidP="00000000" w:rsidRDefault="00000000" w:rsidRPr="00000000" w14:paraId="0000004C">
            <w:pPr>
              <w:jc w:val="center"/>
              <w:rPr>
                <w:sz w:val="18"/>
                <w:szCs w:val="18"/>
              </w:rPr>
            </w:pPr>
            <w:r w:rsidDel="00000000" w:rsidR="00000000" w:rsidRPr="00000000">
              <w:rPr>
                <w:rtl w:val="0"/>
              </w:rPr>
            </w:r>
          </w:p>
          <w:p w:rsidR="00000000" w:rsidDel="00000000" w:rsidP="00000000" w:rsidRDefault="00000000" w:rsidRPr="00000000" w14:paraId="0000004D">
            <w:pPr>
              <w:jc w:val="center"/>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4F">
            <w:pPr>
              <w:jc w:val="center"/>
              <w:rPr>
                <w:sz w:val="18"/>
                <w:szCs w:val="18"/>
              </w:rPr>
            </w:pPr>
            <w:r w:rsidDel="00000000" w:rsidR="00000000" w:rsidRPr="00000000">
              <w:rPr>
                <w:sz w:val="18"/>
                <w:szCs w:val="18"/>
                <w:rtl w:val="0"/>
              </w:rPr>
              <w:t xml:space="preserve">MOT_INT2</w:t>
            </w:r>
          </w:p>
        </w:tc>
        <w:tc>
          <w:tcPr>
            <w:vAlign w:val="center"/>
          </w:tcPr>
          <w:p w:rsidR="00000000" w:rsidDel="00000000" w:rsidP="00000000" w:rsidRDefault="00000000" w:rsidRPr="00000000" w14:paraId="00000050">
            <w:pPr>
              <w:jc w:val="center"/>
              <w:rPr>
                <w:sz w:val="18"/>
                <w:szCs w:val="18"/>
              </w:rPr>
            </w:pPr>
            <w:r w:rsidDel="00000000" w:rsidR="00000000" w:rsidRPr="00000000">
              <w:rPr>
                <w:sz w:val="18"/>
                <w:szCs w:val="18"/>
                <w:rtl w:val="0"/>
              </w:rPr>
              <w:t xml:space="preserve">4.594</w:t>
            </w:r>
          </w:p>
        </w:tc>
        <w:tc>
          <w:tcPr>
            <w:vAlign w:val="center"/>
          </w:tcPr>
          <w:p w:rsidR="00000000" w:rsidDel="00000000" w:rsidP="00000000" w:rsidRDefault="00000000" w:rsidRPr="00000000" w14:paraId="00000051">
            <w:pPr>
              <w:jc w:val="center"/>
              <w:rPr>
                <w:sz w:val="18"/>
                <w:szCs w:val="18"/>
              </w:rPr>
            </w:pPr>
            <w:r w:rsidDel="00000000" w:rsidR="00000000" w:rsidRPr="00000000">
              <w:rPr>
                <w:sz w:val="18"/>
                <w:szCs w:val="18"/>
                <w:rtl w:val="0"/>
              </w:rPr>
              <w:t xml:space="preserve">0.593</w:t>
            </w:r>
          </w:p>
        </w:tc>
        <w:tc>
          <w:tcPr>
            <w:vMerge w:val="continue"/>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54">
            <w:pPr>
              <w:jc w:val="center"/>
              <w:rPr>
                <w:sz w:val="18"/>
                <w:szCs w:val="18"/>
              </w:rPr>
            </w:pPr>
            <w:r w:rsidDel="00000000" w:rsidR="00000000" w:rsidRPr="00000000">
              <w:rPr>
                <w:sz w:val="18"/>
                <w:szCs w:val="18"/>
                <w:rtl w:val="0"/>
              </w:rPr>
              <w:t xml:space="preserve">MOT_INT3</w:t>
            </w:r>
          </w:p>
        </w:tc>
        <w:tc>
          <w:tcPr>
            <w:vAlign w:val="center"/>
          </w:tcPr>
          <w:p w:rsidR="00000000" w:rsidDel="00000000" w:rsidP="00000000" w:rsidRDefault="00000000" w:rsidRPr="00000000" w14:paraId="00000055">
            <w:pPr>
              <w:jc w:val="center"/>
              <w:rPr>
                <w:sz w:val="18"/>
                <w:szCs w:val="18"/>
              </w:rPr>
            </w:pPr>
            <w:r w:rsidDel="00000000" w:rsidR="00000000" w:rsidRPr="00000000">
              <w:rPr>
                <w:sz w:val="18"/>
                <w:szCs w:val="18"/>
                <w:rtl w:val="0"/>
              </w:rPr>
              <w:t xml:space="preserve">4.535</w:t>
            </w:r>
          </w:p>
        </w:tc>
        <w:tc>
          <w:tcPr>
            <w:vAlign w:val="center"/>
          </w:tcPr>
          <w:p w:rsidR="00000000" w:rsidDel="00000000" w:rsidP="00000000" w:rsidRDefault="00000000" w:rsidRPr="00000000" w14:paraId="00000056">
            <w:pPr>
              <w:jc w:val="center"/>
              <w:rPr>
                <w:sz w:val="18"/>
                <w:szCs w:val="18"/>
              </w:rPr>
            </w:pPr>
            <w:r w:rsidDel="00000000" w:rsidR="00000000" w:rsidRPr="00000000">
              <w:rPr>
                <w:sz w:val="18"/>
                <w:szCs w:val="18"/>
                <w:rtl w:val="0"/>
              </w:rPr>
              <w:t xml:space="preserve">0.644</w:t>
            </w:r>
          </w:p>
        </w:tc>
        <w:tc>
          <w:tcPr>
            <w:vMerge w:val="continue"/>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59">
            <w:pPr>
              <w:jc w:val="center"/>
              <w:rPr>
                <w:sz w:val="18"/>
                <w:szCs w:val="18"/>
              </w:rPr>
            </w:pPr>
            <w:r w:rsidDel="00000000" w:rsidR="00000000" w:rsidRPr="00000000">
              <w:rPr>
                <w:sz w:val="18"/>
                <w:szCs w:val="18"/>
                <w:rtl w:val="0"/>
              </w:rPr>
              <w:t xml:space="preserve">MOT_INT4</w:t>
            </w:r>
          </w:p>
        </w:tc>
        <w:tc>
          <w:tcPr>
            <w:vAlign w:val="center"/>
          </w:tcPr>
          <w:p w:rsidR="00000000" w:rsidDel="00000000" w:rsidP="00000000" w:rsidRDefault="00000000" w:rsidRPr="00000000" w14:paraId="0000005A">
            <w:pPr>
              <w:jc w:val="center"/>
              <w:rPr>
                <w:sz w:val="18"/>
                <w:szCs w:val="18"/>
              </w:rPr>
            </w:pPr>
            <w:r w:rsidDel="00000000" w:rsidR="00000000" w:rsidRPr="00000000">
              <w:rPr>
                <w:sz w:val="18"/>
                <w:szCs w:val="18"/>
                <w:rtl w:val="0"/>
              </w:rPr>
              <w:t xml:space="preserve">4.747</w:t>
            </w:r>
          </w:p>
        </w:tc>
        <w:tc>
          <w:tcPr>
            <w:vAlign w:val="center"/>
          </w:tcPr>
          <w:p w:rsidR="00000000" w:rsidDel="00000000" w:rsidP="00000000" w:rsidRDefault="00000000" w:rsidRPr="00000000" w14:paraId="0000005B">
            <w:pPr>
              <w:jc w:val="center"/>
              <w:rPr>
                <w:sz w:val="18"/>
                <w:szCs w:val="18"/>
              </w:rPr>
            </w:pPr>
            <w:r w:rsidDel="00000000" w:rsidR="00000000" w:rsidRPr="00000000">
              <w:rPr>
                <w:sz w:val="18"/>
                <w:szCs w:val="18"/>
                <w:rtl w:val="0"/>
              </w:rPr>
              <w:t xml:space="preserve">0.513</w:t>
            </w:r>
          </w:p>
        </w:tc>
        <w:tc>
          <w:tcPr>
            <w:vMerge w:val="continue"/>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restart"/>
            <w:vAlign w:val="center"/>
          </w:tcPr>
          <w:p w:rsidR="00000000" w:rsidDel="00000000" w:rsidP="00000000" w:rsidRDefault="00000000" w:rsidRPr="00000000" w14:paraId="0000005D">
            <w:pPr>
              <w:rPr>
                <w:sz w:val="18"/>
                <w:szCs w:val="18"/>
              </w:rPr>
            </w:pPr>
            <w:r w:rsidDel="00000000" w:rsidR="00000000" w:rsidRPr="00000000">
              <w:rPr>
                <w:i w:val="1"/>
                <w:iCs w:val="1"/>
                <w:sz w:val="18"/>
                <w:szCs w:val="18"/>
                <w:rtl w:val="0"/>
              </w:rPr>
              <w:t xml:space="preserve">Identified Safety Motivation </w:t>
            </w:r>
            <w:r w:rsidDel="00000000" w:rsidR="00000000" w:rsidRPr="00000000">
              <w:rPr>
                <w:sz w:val="18"/>
                <w:szCs w:val="18"/>
                <w:rtl w:val="0"/>
              </w:rPr>
              <w:t xml:space="preserve">(MOT_IDE</w:t>
            </w:r>
          </w:p>
        </w:tc>
        <w:tc>
          <w:tcPr>
            <w:vAlign w:val="center"/>
          </w:tcPr>
          <w:p w:rsidR="00000000" w:rsidDel="00000000" w:rsidP="00000000" w:rsidRDefault="00000000" w:rsidRPr="00000000" w14:paraId="0000005E">
            <w:pPr>
              <w:jc w:val="center"/>
              <w:rPr>
                <w:sz w:val="18"/>
                <w:szCs w:val="18"/>
              </w:rPr>
            </w:pPr>
            <w:r w:rsidDel="00000000" w:rsidR="00000000" w:rsidRPr="00000000">
              <w:rPr>
                <w:sz w:val="18"/>
                <w:szCs w:val="18"/>
                <w:rtl w:val="0"/>
              </w:rPr>
              <w:t xml:space="preserve">MOT_IDE1</w:t>
            </w:r>
          </w:p>
        </w:tc>
        <w:tc>
          <w:tcPr>
            <w:vAlign w:val="center"/>
          </w:tcPr>
          <w:p w:rsidR="00000000" w:rsidDel="00000000" w:rsidP="00000000" w:rsidRDefault="00000000" w:rsidRPr="00000000" w14:paraId="0000005F">
            <w:pPr>
              <w:jc w:val="center"/>
              <w:rPr>
                <w:sz w:val="18"/>
                <w:szCs w:val="18"/>
              </w:rPr>
            </w:pPr>
            <w:r w:rsidDel="00000000" w:rsidR="00000000" w:rsidRPr="00000000">
              <w:rPr>
                <w:sz w:val="18"/>
                <w:szCs w:val="18"/>
                <w:rtl w:val="0"/>
              </w:rPr>
              <w:t xml:space="preserve">4.7</w:t>
            </w:r>
          </w:p>
        </w:tc>
        <w:tc>
          <w:tcPr>
            <w:vAlign w:val="center"/>
          </w:tcPr>
          <w:p w:rsidR="00000000" w:rsidDel="00000000" w:rsidP="00000000" w:rsidRDefault="00000000" w:rsidRPr="00000000" w14:paraId="00000060">
            <w:pPr>
              <w:jc w:val="center"/>
              <w:rPr>
                <w:sz w:val="18"/>
                <w:szCs w:val="18"/>
              </w:rPr>
            </w:pPr>
            <w:r w:rsidDel="00000000" w:rsidR="00000000" w:rsidRPr="00000000">
              <w:rPr>
                <w:sz w:val="18"/>
                <w:szCs w:val="18"/>
                <w:rtl w:val="0"/>
              </w:rPr>
              <w:t xml:space="preserve">0.497</w:t>
            </w:r>
          </w:p>
        </w:tc>
        <w:tc>
          <w:tcPr>
            <w:vMerge w:val="restart"/>
            <w:vAlign w:val="center"/>
          </w:tcPr>
          <w:p w:rsidR="00000000" w:rsidDel="00000000" w:rsidP="00000000" w:rsidRDefault="00000000" w:rsidRPr="00000000" w14:paraId="00000061">
            <w:pPr>
              <w:jc w:val="center"/>
              <w:rPr>
                <w:sz w:val="18"/>
                <w:szCs w:val="18"/>
              </w:rPr>
            </w:pPr>
            <w:r w:rsidDel="00000000" w:rsidR="00000000" w:rsidRPr="00000000">
              <w:rPr>
                <w:sz w:val="18"/>
                <w:szCs w:val="18"/>
                <w:rtl w:val="0"/>
              </w:rPr>
              <w:t xml:space="preserve">4.68075</w:t>
            </w:r>
          </w:p>
        </w:tc>
      </w:tr>
      <w:tr>
        <w:trPr>
          <w:cantSplit w:val="0"/>
          <w:trHeight w:val="315" w:hRule="atLeast"/>
          <w:tblHeader w:val="0"/>
        </w:trPr>
        <w:tc>
          <w:tcPr>
            <w:vMerge w:val="continue"/>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63">
            <w:pPr>
              <w:jc w:val="center"/>
              <w:rPr>
                <w:sz w:val="18"/>
                <w:szCs w:val="18"/>
              </w:rPr>
            </w:pPr>
            <w:r w:rsidDel="00000000" w:rsidR="00000000" w:rsidRPr="00000000">
              <w:rPr>
                <w:sz w:val="18"/>
                <w:szCs w:val="18"/>
                <w:rtl w:val="0"/>
              </w:rPr>
              <w:t xml:space="preserve">MOT_IDE2</w:t>
            </w:r>
          </w:p>
        </w:tc>
        <w:tc>
          <w:tcPr>
            <w:vAlign w:val="center"/>
          </w:tcPr>
          <w:p w:rsidR="00000000" w:rsidDel="00000000" w:rsidP="00000000" w:rsidRDefault="00000000" w:rsidRPr="00000000" w14:paraId="00000064">
            <w:pPr>
              <w:jc w:val="center"/>
              <w:rPr>
                <w:sz w:val="18"/>
                <w:szCs w:val="18"/>
              </w:rPr>
            </w:pPr>
            <w:r w:rsidDel="00000000" w:rsidR="00000000" w:rsidRPr="00000000">
              <w:rPr>
                <w:sz w:val="18"/>
                <w:szCs w:val="18"/>
                <w:rtl w:val="0"/>
              </w:rPr>
              <w:t xml:space="preserve">4.664</w:t>
            </w:r>
          </w:p>
        </w:tc>
        <w:tc>
          <w:tcPr>
            <w:vAlign w:val="center"/>
          </w:tcPr>
          <w:p w:rsidR="00000000" w:rsidDel="00000000" w:rsidP="00000000" w:rsidRDefault="00000000" w:rsidRPr="00000000" w14:paraId="00000065">
            <w:pPr>
              <w:jc w:val="center"/>
              <w:rPr>
                <w:sz w:val="18"/>
                <w:szCs w:val="18"/>
              </w:rPr>
            </w:pPr>
            <w:r w:rsidDel="00000000" w:rsidR="00000000" w:rsidRPr="00000000">
              <w:rPr>
                <w:sz w:val="18"/>
                <w:szCs w:val="18"/>
                <w:rtl w:val="0"/>
              </w:rPr>
              <w:t xml:space="preserve">0.519</w:t>
            </w:r>
          </w:p>
        </w:tc>
        <w:tc>
          <w:tcPr>
            <w:vMerge w:val="continue"/>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68">
            <w:pPr>
              <w:jc w:val="center"/>
              <w:rPr>
                <w:sz w:val="18"/>
                <w:szCs w:val="18"/>
              </w:rPr>
            </w:pPr>
            <w:r w:rsidDel="00000000" w:rsidR="00000000" w:rsidRPr="00000000">
              <w:rPr>
                <w:sz w:val="18"/>
                <w:szCs w:val="18"/>
                <w:rtl w:val="0"/>
              </w:rPr>
              <w:t xml:space="preserve">MOT_IDE3</w:t>
            </w:r>
          </w:p>
        </w:tc>
        <w:tc>
          <w:tcPr>
            <w:vAlign w:val="center"/>
          </w:tcPr>
          <w:p w:rsidR="00000000" w:rsidDel="00000000" w:rsidP="00000000" w:rsidRDefault="00000000" w:rsidRPr="00000000" w14:paraId="00000069">
            <w:pPr>
              <w:jc w:val="center"/>
              <w:rPr>
                <w:sz w:val="18"/>
                <w:szCs w:val="18"/>
              </w:rPr>
            </w:pPr>
            <w:r w:rsidDel="00000000" w:rsidR="00000000" w:rsidRPr="00000000">
              <w:rPr>
                <w:sz w:val="18"/>
                <w:szCs w:val="18"/>
                <w:rtl w:val="0"/>
              </w:rPr>
              <w:t xml:space="preserve">4.682</w:t>
            </w:r>
          </w:p>
        </w:tc>
        <w:tc>
          <w:tcPr>
            <w:vAlign w:val="center"/>
          </w:tcPr>
          <w:p w:rsidR="00000000" w:rsidDel="00000000" w:rsidP="00000000" w:rsidRDefault="00000000" w:rsidRPr="00000000" w14:paraId="0000006A">
            <w:pPr>
              <w:jc w:val="center"/>
              <w:rPr>
                <w:sz w:val="18"/>
                <w:szCs w:val="18"/>
              </w:rPr>
            </w:pPr>
            <w:r w:rsidDel="00000000" w:rsidR="00000000" w:rsidRPr="00000000">
              <w:rPr>
                <w:sz w:val="18"/>
                <w:szCs w:val="18"/>
                <w:rtl w:val="0"/>
              </w:rPr>
              <w:t xml:space="preserve">0.485</w:t>
            </w:r>
          </w:p>
        </w:tc>
        <w:tc>
          <w:tcPr>
            <w:vMerge w:val="continue"/>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6D">
            <w:pPr>
              <w:jc w:val="center"/>
              <w:rPr>
                <w:sz w:val="18"/>
                <w:szCs w:val="18"/>
              </w:rPr>
            </w:pPr>
            <w:r w:rsidDel="00000000" w:rsidR="00000000" w:rsidRPr="00000000">
              <w:rPr>
                <w:sz w:val="18"/>
                <w:szCs w:val="18"/>
                <w:rtl w:val="0"/>
              </w:rPr>
              <w:t xml:space="preserve">MOT_IDE4</w:t>
            </w:r>
          </w:p>
        </w:tc>
        <w:tc>
          <w:tcPr>
            <w:vAlign w:val="center"/>
          </w:tcPr>
          <w:p w:rsidR="00000000" w:rsidDel="00000000" w:rsidP="00000000" w:rsidRDefault="00000000" w:rsidRPr="00000000" w14:paraId="0000006E">
            <w:pPr>
              <w:jc w:val="center"/>
              <w:rPr>
                <w:sz w:val="18"/>
                <w:szCs w:val="18"/>
              </w:rPr>
            </w:pPr>
            <w:r w:rsidDel="00000000" w:rsidR="00000000" w:rsidRPr="00000000">
              <w:rPr>
                <w:sz w:val="18"/>
                <w:szCs w:val="18"/>
                <w:rtl w:val="0"/>
              </w:rPr>
              <w:t xml:space="preserve">4.677</w:t>
            </w:r>
          </w:p>
        </w:tc>
        <w:tc>
          <w:tcPr>
            <w:vAlign w:val="center"/>
          </w:tcPr>
          <w:p w:rsidR="00000000" w:rsidDel="00000000" w:rsidP="00000000" w:rsidRDefault="00000000" w:rsidRPr="00000000" w14:paraId="0000006F">
            <w:pPr>
              <w:jc w:val="center"/>
              <w:rPr>
                <w:sz w:val="18"/>
                <w:szCs w:val="18"/>
              </w:rPr>
            </w:pPr>
            <w:r w:rsidDel="00000000" w:rsidR="00000000" w:rsidRPr="00000000">
              <w:rPr>
                <w:sz w:val="18"/>
                <w:szCs w:val="18"/>
                <w:rtl w:val="0"/>
              </w:rPr>
              <w:t xml:space="preserve">0.477</w:t>
            </w:r>
          </w:p>
        </w:tc>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restart"/>
            <w:vAlign w:val="center"/>
          </w:tcPr>
          <w:p w:rsidR="00000000" w:rsidDel="00000000" w:rsidP="00000000" w:rsidRDefault="00000000" w:rsidRPr="00000000" w14:paraId="00000071">
            <w:pPr>
              <w:rPr>
                <w:sz w:val="18"/>
                <w:szCs w:val="18"/>
              </w:rPr>
            </w:pPr>
            <w:r w:rsidDel="00000000" w:rsidR="00000000" w:rsidRPr="00000000">
              <w:rPr>
                <w:i w:val="1"/>
                <w:iCs w:val="1"/>
                <w:sz w:val="18"/>
                <w:szCs w:val="18"/>
                <w:rtl w:val="0"/>
              </w:rPr>
              <w:t xml:space="preserve">Introjected Safety Motivation </w:t>
            </w:r>
            <w:r w:rsidDel="00000000" w:rsidR="00000000" w:rsidRPr="00000000">
              <w:rPr>
                <w:sz w:val="18"/>
                <w:szCs w:val="18"/>
                <w:rtl w:val="0"/>
              </w:rPr>
              <w:t xml:space="preserve">(MOT_INJ)</w:t>
            </w:r>
          </w:p>
        </w:tc>
        <w:tc>
          <w:tcPr>
            <w:vAlign w:val="center"/>
          </w:tcPr>
          <w:p w:rsidR="00000000" w:rsidDel="00000000" w:rsidP="00000000" w:rsidRDefault="00000000" w:rsidRPr="00000000" w14:paraId="00000072">
            <w:pPr>
              <w:jc w:val="center"/>
              <w:rPr>
                <w:sz w:val="18"/>
                <w:szCs w:val="18"/>
              </w:rPr>
            </w:pPr>
            <w:r w:rsidDel="00000000" w:rsidR="00000000" w:rsidRPr="00000000">
              <w:rPr>
                <w:sz w:val="18"/>
                <w:szCs w:val="18"/>
                <w:rtl w:val="0"/>
              </w:rPr>
              <w:t xml:space="preserve">MOT_INJ1</w:t>
            </w:r>
          </w:p>
        </w:tc>
        <w:tc>
          <w:tcPr>
            <w:vAlign w:val="center"/>
          </w:tcPr>
          <w:p w:rsidR="00000000" w:rsidDel="00000000" w:rsidP="00000000" w:rsidRDefault="00000000" w:rsidRPr="00000000" w14:paraId="00000073">
            <w:pPr>
              <w:jc w:val="center"/>
              <w:rPr>
                <w:sz w:val="18"/>
                <w:szCs w:val="18"/>
              </w:rPr>
            </w:pPr>
            <w:r w:rsidDel="00000000" w:rsidR="00000000" w:rsidRPr="00000000">
              <w:rPr>
                <w:sz w:val="18"/>
                <w:szCs w:val="18"/>
                <w:rtl w:val="0"/>
              </w:rPr>
              <w:t xml:space="preserve">4.627</w:t>
            </w:r>
          </w:p>
        </w:tc>
        <w:tc>
          <w:tcPr>
            <w:vAlign w:val="center"/>
          </w:tcPr>
          <w:p w:rsidR="00000000" w:rsidDel="00000000" w:rsidP="00000000" w:rsidRDefault="00000000" w:rsidRPr="00000000" w14:paraId="00000074">
            <w:pPr>
              <w:jc w:val="center"/>
              <w:rPr>
                <w:sz w:val="18"/>
                <w:szCs w:val="18"/>
              </w:rPr>
            </w:pPr>
            <w:r w:rsidDel="00000000" w:rsidR="00000000" w:rsidRPr="00000000">
              <w:rPr>
                <w:sz w:val="18"/>
                <w:szCs w:val="18"/>
                <w:rtl w:val="0"/>
              </w:rPr>
              <w:t xml:space="preserve">0.529</w:t>
            </w:r>
          </w:p>
        </w:tc>
        <w:tc>
          <w:tcPr>
            <w:vMerge w:val="restart"/>
            <w:vAlign w:val="center"/>
          </w:tcPr>
          <w:p w:rsidR="00000000" w:rsidDel="00000000" w:rsidP="00000000" w:rsidRDefault="00000000" w:rsidRPr="00000000" w14:paraId="00000075">
            <w:pPr>
              <w:jc w:val="center"/>
              <w:rPr>
                <w:sz w:val="18"/>
                <w:szCs w:val="18"/>
              </w:rPr>
            </w:pPr>
            <w:r w:rsidDel="00000000" w:rsidR="00000000" w:rsidRPr="00000000">
              <w:rPr>
                <w:sz w:val="18"/>
                <w:szCs w:val="18"/>
                <w:rtl w:val="0"/>
              </w:rPr>
              <w:t xml:space="preserve">4.56225</w:t>
            </w:r>
          </w:p>
        </w:tc>
      </w:tr>
      <w:tr>
        <w:trPr>
          <w:cantSplit w:val="0"/>
          <w:trHeight w:val="315" w:hRule="atLeast"/>
          <w:tblHeader w:val="0"/>
        </w:trPr>
        <w:tc>
          <w:tcPr>
            <w:vMerge w:val="continue"/>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77">
            <w:pPr>
              <w:jc w:val="center"/>
              <w:rPr>
                <w:sz w:val="18"/>
                <w:szCs w:val="18"/>
              </w:rPr>
            </w:pPr>
            <w:r w:rsidDel="00000000" w:rsidR="00000000" w:rsidRPr="00000000">
              <w:rPr>
                <w:sz w:val="18"/>
                <w:szCs w:val="18"/>
                <w:rtl w:val="0"/>
              </w:rPr>
              <w:t xml:space="preserve">MOT_INJ2</w:t>
            </w:r>
          </w:p>
        </w:tc>
        <w:tc>
          <w:tcPr>
            <w:vAlign w:val="center"/>
          </w:tcPr>
          <w:p w:rsidR="00000000" w:rsidDel="00000000" w:rsidP="00000000" w:rsidRDefault="00000000" w:rsidRPr="00000000" w14:paraId="00000078">
            <w:pPr>
              <w:jc w:val="center"/>
              <w:rPr>
                <w:sz w:val="18"/>
                <w:szCs w:val="18"/>
              </w:rPr>
            </w:pPr>
            <w:r w:rsidDel="00000000" w:rsidR="00000000" w:rsidRPr="00000000">
              <w:rPr>
                <w:sz w:val="18"/>
                <w:szCs w:val="18"/>
                <w:rtl w:val="0"/>
              </w:rPr>
              <w:t xml:space="preserve">4.53</w:t>
            </w:r>
          </w:p>
        </w:tc>
        <w:tc>
          <w:tcPr>
            <w:vAlign w:val="center"/>
          </w:tcPr>
          <w:p w:rsidR="00000000" w:rsidDel="00000000" w:rsidP="00000000" w:rsidRDefault="00000000" w:rsidRPr="00000000" w14:paraId="00000079">
            <w:pPr>
              <w:jc w:val="center"/>
              <w:rPr>
                <w:sz w:val="18"/>
                <w:szCs w:val="18"/>
              </w:rPr>
            </w:pPr>
            <w:r w:rsidDel="00000000" w:rsidR="00000000" w:rsidRPr="00000000">
              <w:rPr>
                <w:sz w:val="18"/>
                <w:szCs w:val="18"/>
                <w:rtl w:val="0"/>
              </w:rPr>
              <w:t xml:space="preserve">0.607</w:t>
            </w:r>
          </w:p>
        </w:tc>
        <w:tc>
          <w:tcPr>
            <w:vMerge w:val="continue"/>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7C">
            <w:pPr>
              <w:jc w:val="center"/>
              <w:rPr>
                <w:sz w:val="18"/>
                <w:szCs w:val="18"/>
              </w:rPr>
            </w:pPr>
            <w:r w:rsidDel="00000000" w:rsidR="00000000" w:rsidRPr="00000000">
              <w:rPr>
                <w:sz w:val="18"/>
                <w:szCs w:val="18"/>
                <w:rtl w:val="0"/>
              </w:rPr>
              <w:t xml:space="preserve">MOT_INJ3</w:t>
            </w:r>
          </w:p>
        </w:tc>
        <w:tc>
          <w:tcPr>
            <w:vAlign w:val="center"/>
          </w:tcPr>
          <w:p w:rsidR="00000000" w:rsidDel="00000000" w:rsidP="00000000" w:rsidRDefault="00000000" w:rsidRPr="00000000" w14:paraId="0000007D">
            <w:pPr>
              <w:jc w:val="center"/>
              <w:rPr>
                <w:sz w:val="18"/>
                <w:szCs w:val="18"/>
              </w:rPr>
            </w:pPr>
            <w:r w:rsidDel="00000000" w:rsidR="00000000" w:rsidRPr="00000000">
              <w:rPr>
                <w:sz w:val="18"/>
                <w:szCs w:val="18"/>
                <w:rtl w:val="0"/>
              </w:rPr>
              <w:t xml:space="preserve">4.502</w:t>
            </w:r>
          </w:p>
        </w:tc>
        <w:tc>
          <w:tcPr>
            <w:vAlign w:val="center"/>
          </w:tcPr>
          <w:p w:rsidR="00000000" w:rsidDel="00000000" w:rsidP="00000000" w:rsidRDefault="00000000" w:rsidRPr="00000000" w14:paraId="0000007E">
            <w:pPr>
              <w:jc w:val="center"/>
              <w:rPr>
                <w:sz w:val="18"/>
                <w:szCs w:val="18"/>
              </w:rPr>
            </w:pPr>
            <w:r w:rsidDel="00000000" w:rsidR="00000000" w:rsidRPr="00000000">
              <w:rPr>
                <w:sz w:val="18"/>
                <w:szCs w:val="18"/>
                <w:rtl w:val="0"/>
              </w:rPr>
              <w:t xml:space="preserve">0.577</w:t>
            </w:r>
          </w:p>
        </w:tc>
        <w:tc>
          <w:tcPr>
            <w:vMerge w:val="continue"/>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81">
            <w:pPr>
              <w:jc w:val="center"/>
              <w:rPr>
                <w:sz w:val="18"/>
                <w:szCs w:val="18"/>
              </w:rPr>
            </w:pPr>
            <w:r w:rsidDel="00000000" w:rsidR="00000000" w:rsidRPr="00000000">
              <w:rPr>
                <w:sz w:val="18"/>
                <w:szCs w:val="18"/>
                <w:rtl w:val="0"/>
              </w:rPr>
              <w:t xml:space="preserve">MOT_INJ4</w:t>
            </w:r>
          </w:p>
        </w:tc>
        <w:tc>
          <w:tcPr>
            <w:vAlign w:val="center"/>
          </w:tcPr>
          <w:p w:rsidR="00000000" w:rsidDel="00000000" w:rsidP="00000000" w:rsidRDefault="00000000" w:rsidRPr="00000000" w14:paraId="00000082">
            <w:pPr>
              <w:jc w:val="center"/>
              <w:rPr>
                <w:sz w:val="18"/>
                <w:szCs w:val="18"/>
              </w:rPr>
            </w:pPr>
            <w:r w:rsidDel="00000000" w:rsidR="00000000" w:rsidRPr="00000000">
              <w:rPr>
                <w:sz w:val="18"/>
                <w:szCs w:val="18"/>
                <w:rtl w:val="0"/>
              </w:rPr>
              <w:t xml:space="preserve">4.59</w:t>
            </w:r>
          </w:p>
        </w:tc>
        <w:tc>
          <w:tcPr>
            <w:vAlign w:val="center"/>
          </w:tcPr>
          <w:p w:rsidR="00000000" w:rsidDel="00000000" w:rsidP="00000000" w:rsidRDefault="00000000" w:rsidRPr="00000000" w14:paraId="00000083">
            <w:pPr>
              <w:jc w:val="center"/>
              <w:rPr>
                <w:sz w:val="18"/>
                <w:szCs w:val="18"/>
              </w:rPr>
            </w:pPr>
            <w:r w:rsidDel="00000000" w:rsidR="00000000" w:rsidRPr="00000000">
              <w:rPr>
                <w:sz w:val="18"/>
                <w:szCs w:val="18"/>
                <w:rtl w:val="0"/>
              </w:rPr>
              <w:t xml:space="preserve">0.562</w:t>
            </w:r>
          </w:p>
        </w:tc>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restart"/>
            <w:vAlign w:val="center"/>
          </w:tcPr>
          <w:p w:rsidR="00000000" w:rsidDel="00000000" w:rsidP="00000000" w:rsidRDefault="00000000" w:rsidRPr="00000000" w14:paraId="00000085">
            <w:pPr>
              <w:rPr>
                <w:sz w:val="18"/>
                <w:szCs w:val="18"/>
              </w:rPr>
            </w:pPr>
            <w:r w:rsidDel="00000000" w:rsidR="00000000" w:rsidRPr="00000000">
              <w:rPr>
                <w:i w:val="1"/>
                <w:iCs w:val="1"/>
                <w:sz w:val="18"/>
                <w:szCs w:val="18"/>
                <w:rtl w:val="0"/>
              </w:rPr>
              <w:t xml:space="preserve">External Safety Motivation </w:t>
            </w:r>
            <w:r w:rsidDel="00000000" w:rsidR="00000000" w:rsidRPr="00000000">
              <w:rPr>
                <w:sz w:val="18"/>
                <w:szCs w:val="18"/>
                <w:rtl w:val="0"/>
              </w:rPr>
              <w:t xml:space="preserve">(MOT_EXT)</w:t>
            </w:r>
          </w:p>
        </w:tc>
        <w:tc>
          <w:tcPr>
            <w:vAlign w:val="center"/>
          </w:tcPr>
          <w:p w:rsidR="00000000" w:rsidDel="00000000" w:rsidP="00000000" w:rsidRDefault="00000000" w:rsidRPr="00000000" w14:paraId="00000086">
            <w:pPr>
              <w:jc w:val="center"/>
              <w:rPr>
                <w:sz w:val="18"/>
                <w:szCs w:val="18"/>
              </w:rPr>
            </w:pPr>
            <w:r w:rsidDel="00000000" w:rsidR="00000000" w:rsidRPr="00000000">
              <w:rPr>
                <w:sz w:val="18"/>
                <w:szCs w:val="18"/>
                <w:rtl w:val="0"/>
              </w:rPr>
              <w:t xml:space="preserve">MOT_EXT1</w:t>
            </w:r>
          </w:p>
        </w:tc>
        <w:tc>
          <w:tcPr>
            <w:vAlign w:val="center"/>
          </w:tcPr>
          <w:p w:rsidR="00000000" w:rsidDel="00000000" w:rsidP="00000000" w:rsidRDefault="00000000" w:rsidRPr="00000000" w14:paraId="00000087">
            <w:pPr>
              <w:jc w:val="center"/>
              <w:rPr>
                <w:sz w:val="18"/>
                <w:szCs w:val="18"/>
              </w:rPr>
            </w:pPr>
            <w:r w:rsidDel="00000000" w:rsidR="00000000" w:rsidRPr="00000000">
              <w:rPr>
                <w:sz w:val="18"/>
                <w:szCs w:val="18"/>
                <w:rtl w:val="0"/>
              </w:rPr>
              <w:t xml:space="preserve">4.06</w:t>
            </w:r>
          </w:p>
        </w:tc>
        <w:tc>
          <w:tcPr>
            <w:vAlign w:val="center"/>
          </w:tcPr>
          <w:p w:rsidR="00000000" w:rsidDel="00000000" w:rsidP="00000000" w:rsidRDefault="00000000" w:rsidRPr="00000000" w14:paraId="00000088">
            <w:pPr>
              <w:jc w:val="center"/>
              <w:rPr>
                <w:sz w:val="18"/>
                <w:szCs w:val="18"/>
              </w:rPr>
            </w:pPr>
            <w:r w:rsidDel="00000000" w:rsidR="00000000" w:rsidRPr="00000000">
              <w:rPr>
                <w:sz w:val="18"/>
                <w:szCs w:val="18"/>
                <w:rtl w:val="0"/>
              </w:rPr>
              <w:t xml:space="preserve">0.98</w:t>
            </w:r>
          </w:p>
        </w:tc>
        <w:tc>
          <w:tcPr>
            <w:vMerge w:val="restart"/>
            <w:vAlign w:val="center"/>
          </w:tcPr>
          <w:p w:rsidR="00000000" w:rsidDel="00000000" w:rsidP="00000000" w:rsidRDefault="00000000" w:rsidRPr="00000000" w14:paraId="00000089">
            <w:pPr>
              <w:jc w:val="center"/>
              <w:rPr>
                <w:sz w:val="18"/>
                <w:szCs w:val="18"/>
              </w:rPr>
            </w:pPr>
            <w:r w:rsidDel="00000000" w:rsidR="00000000" w:rsidRPr="00000000">
              <w:rPr>
                <w:sz w:val="18"/>
                <w:szCs w:val="18"/>
                <w:rtl w:val="0"/>
              </w:rPr>
              <w:t xml:space="preserve">3.698</w:t>
            </w:r>
          </w:p>
        </w:tc>
      </w:tr>
      <w:tr>
        <w:trPr>
          <w:cantSplit w:val="0"/>
          <w:trHeight w:val="315" w:hRule="atLeast"/>
          <w:tblHeader w:val="0"/>
        </w:trPr>
        <w:tc>
          <w:tcPr>
            <w:vMerge w:val="continue"/>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8B">
            <w:pPr>
              <w:jc w:val="center"/>
              <w:rPr>
                <w:sz w:val="18"/>
                <w:szCs w:val="18"/>
              </w:rPr>
            </w:pPr>
            <w:r w:rsidDel="00000000" w:rsidR="00000000" w:rsidRPr="00000000">
              <w:rPr>
                <w:sz w:val="18"/>
                <w:szCs w:val="18"/>
                <w:rtl w:val="0"/>
              </w:rPr>
              <w:t xml:space="preserve">MOT_EXT2</w:t>
            </w:r>
          </w:p>
        </w:tc>
        <w:tc>
          <w:tcPr>
            <w:vAlign w:val="center"/>
          </w:tcPr>
          <w:p w:rsidR="00000000" w:rsidDel="00000000" w:rsidP="00000000" w:rsidRDefault="00000000" w:rsidRPr="00000000" w14:paraId="0000008C">
            <w:pPr>
              <w:jc w:val="center"/>
              <w:rPr>
                <w:sz w:val="18"/>
                <w:szCs w:val="18"/>
              </w:rPr>
            </w:pPr>
            <w:r w:rsidDel="00000000" w:rsidR="00000000" w:rsidRPr="00000000">
              <w:rPr>
                <w:sz w:val="18"/>
                <w:szCs w:val="18"/>
                <w:rtl w:val="0"/>
              </w:rPr>
              <w:t xml:space="preserve">3.917</w:t>
            </w:r>
          </w:p>
        </w:tc>
        <w:tc>
          <w:tcPr>
            <w:vAlign w:val="center"/>
          </w:tcPr>
          <w:p w:rsidR="00000000" w:rsidDel="00000000" w:rsidP="00000000" w:rsidRDefault="00000000" w:rsidRPr="00000000" w14:paraId="0000008D">
            <w:pPr>
              <w:jc w:val="center"/>
              <w:rPr>
                <w:sz w:val="18"/>
                <w:szCs w:val="18"/>
              </w:rPr>
            </w:pPr>
            <w:r w:rsidDel="00000000" w:rsidR="00000000" w:rsidRPr="00000000">
              <w:rPr>
                <w:sz w:val="18"/>
                <w:szCs w:val="18"/>
                <w:rtl w:val="0"/>
              </w:rPr>
              <w:t xml:space="preserve">1.022</w:t>
            </w:r>
          </w:p>
        </w:tc>
        <w:tc>
          <w:tcPr>
            <w:vMerge w:val="continue"/>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90">
            <w:pPr>
              <w:jc w:val="center"/>
              <w:rPr>
                <w:sz w:val="18"/>
                <w:szCs w:val="18"/>
              </w:rPr>
            </w:pPr>
            <w:r w:rsidDel="00000000" w:rsidR="00000000" w:rsidRPr="00000000">
              <w:rPr>
                <w:sz w:val="18"/>
                <w:szCs w:val="18"/>
                <w:rtl w:val="0"/>
              </w:rPr>
              <w:t xml:space="preserve">MOT_EXT3</w:t>
            </w:r>
          </w:p>
        </w:tc>
        <w:tc>
          <w:tcPr>
            <w:vAlign w:val="center"/>
          </w:tcPr>
          <w:p w:rsidR="00000000" w:rsidDel="00000000" w:rsidP="00000000" w:rsidRDefault="00000000" w:rsidRPr="00000000" w14:paraId="00000091">
            <w:pPr>
              <w:jc w:val="center"/>
              <w:rPr>
                <w:sz w:val="18"/>
                <w:szCs w:val="18"/>
              </w:rPr>
            </w:pPr>
            <w:r w:rsidDel="00000000" w:rsidR="00000000" w:rsidRPr="00000000">
              <w:rPr>
                <w:sz w:val="18"/>
                <w:szCs w:val="18"/>
                <w:rtl w:val="0"/>
              </w:rPr>
              <w:t xml:space="preserve">3.29</w:t>
            </w:r>
          </w:p>
        </w:tc>
        <w:tc>
          <w:tcPr>
            <w:vAlign w:val="center"/>
          </w:tcPr>
          <w:p w:rsidR="00000000" w:rsidDel="00000000" w:rsidP="00000000" w:rsidRDefault="00000000" w:rsidRPr="00000000" w14:paraId="00000092">
            <w:pPr>
              <w:jc w:val="center"/>
              <w:rPr>
                <w:sz w:val="18"/>
                <w:szCs w:val="18"/>
              </w:rPr>
            </w:pPr>
            <w:r w:rsidDel="00000000" w:rsidR="00000000" w:rsidRPr="00000000">
              <w:rPr>
                <w:sz w:val="18"/>
                <w:szCs w:val="18"/>
                <w:rtl w:val="0"/>
              </w:rPr>
              <w:t xml:space="preserve">1.129</w:t>
            </w:r>
          </w:p>
        </w:tc>
        <w:tc>
          <w:tcPr>
            <w:vMerge w:val="continue"/>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95">
            <w:pPr>
              <w:jc w:val="center"/>
              <w:rPr>
                <w:sz w:val="18"/>
                <w:szCs w:val="18"/>
              </w:rPr>
            </w:pPr>
            <w:r w:rsidDel="00000000" w:rsidR="00000000" w:rsidRPr="00000000">
              <w:rPr>
                <w:sz w:val="18"/>
                <w:szCs w:val="18"/>
                <w:rtl w:val="0"/>
              </w:rPr>
              <w:t xml:space="preserve">MOT_EXT4</w:t>
            </w:r>
          </w:p>
        </w:tc>
        <w:tc>
          <w:tcPr>
            <w:vAlign w:val="center"/>
          </w:tcPr>
          <w:p w:rsidR="00000000" w:rsidDel="00000000" w:rsidP="00000000" w:rsidRDefault="00000000" w:rsidRPr="00000000" w14:paraId="00000096">
            <w:pPr>
              <w:jc w:val="center"/>
              <w:rPr>
                <w:sz w:val="18"/>
                <w:szCs w:val="18"/>
              </w:rPr>
            </w:pPr>
            <w:r w:rsidDel="00000000" w:rsidR="00000000" w:rsidRPr="00000000">
              <w:rPr>
                <w:sz w:val="18"/>
                <w:szCs w:val="18"/>
                <w:rtl w:val="0"/>
              </w:rPr>
              <w:t xml:space="preserve">3.525</w:t>
            </w:r>
          </w:p>
        </w:tc>
        <w:tc>
          <w:tcPr>
            <w:vAlign w:val="center"/>
          </w:tcPr>
          <w:p w:rsidR="00000000" w:rsidDel="00000000" w:rsidP="00000000" w:rsidRDefault="00000000" w:rsidRPr="00000000" w14:paraId="00000097">
            <w:pPr>
              <w:jc w:val="center"/>
              <w:rPr>
                <w:sz w:val="18"/>
                <w:szCs w:val="18"/>
              </w:rPr>
            </w:pPr>
            <w:r w:rsidDel="00000000" w:rsidR="00000000" w:rsidRPr="00000000">
              <w:rPr>
                <w:sz w:val="18"/>
                <w:szCs w:val="18"/>
                <w:rtl w:val="0"/>
              </w:rPr>
              <w:t xml:space="preserve">1.056</w:t>
            </w:r>
          </w:p>
        </w:tc>
        <w:tc>
          <w:tcPr>
            <w:vMerge w:val="continue"/>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restart"/>
            <w:vAlign w:val="center"/>
          </w:tcPr>
          <w:p w:rsidR="00000000" w:rsidDel="00000000" w:rsidP="00000000" w:rsidRDefault="00000000" w:rsidRPr="00000000" w14:paraId="00000099">
            <w:pPr>
              <w:rPr>
                <w:sz w:val="18"/>
                <w:szCs w:val="18"/>
              </w:rPr>
            </w:pPr>
            <w:r w:rsidDel="00000000" w:rsidR="00000000" w:rsidRPr="00000000">
              <w:rPr>
                <w:i w:val="1"/>
                <w:iCs w:val="1"/>
                <w:sz w:val="18"/>
                <w:szCs w:val="18"/>
                <w:rtl w:val="0"/>
              </w:rPr>
              <w:t xml:space="preserve">Amotivation </w:t>
            </w:r>
            <w:r w:rsidDel="00000000" w:rsidR="00000000" w:rsidRPr="00000000">
              <w:rPr>
                <w:sz w:val="18"/>
                <w:szCs w:val="18"/>
                <w:rtl w:val="0"/>
              </w:rPr>
              <w:t xml:space="preserve">(MO_AMO)</w:t>
            </w:r>
          </w:p>
        </w:tc>
        <w:tc>
          <w:tcPr>
            <w:vAlign w:val="center"/>
          </w:tcPr>
          <w:p w:rsidR="00000000" w:rsidDel="00000000" w:rsidP="00000000" w:rsidRDefault="00000000" w:rsidRPr="00000000" w14:paraId="0000009A">
            <w:pPr>
              <w:jc w:val="center"/>
              <w:rPr>
                <w:sz w:val="18"/>
                <w:szCs w:val="18"/>
              </w:rPr>
            </w:pPr>
            <w:r w:rsidDel="00000000" w:rsidR="00000000" w:rsidRPr="00000000">
              <w:rPr>
                <w:sz w:val="18"/>
                <w:szCs w:val="18"/>
                <w:rtl w:val="0"/>
              </w:rPr>
              <w:t xml:space="preserve">MO_AMO1</w:t>
            </w:r>
          </w:p>
        </w:tc>
        <w:tc>
          <w:tcPr>
            <w:vAlign w:val="center"/>
          </w:tcPr>
          <w:p w:rsidR="00000000" w:rsidDel="00000000" w:rsidP="00000000" w:rsidRDefault="00000000" w:rsidRPr="00000000" w14:paraId="0000009B">
            <w:pPr>
              <w:jc w:val="center"/>
              <w:rPr>
                <w:sz w:val="18"/>
                <w:szCs w:val="18"/>
              </w:rPr>
            </w:pPr>
            <w:r w:rsidDel="00000000" w:rsidR="00000000" w:rsidRPr="00000000">
              <w:rPr>
                <w:sz w:val="18"/>
                <w:szCs w:val="18"/>
                <w:rtl w:val="0"/>
              </w:rPr>
              <w:t xml:space="preserve">4.124</w:t>
            </w:r>
          </w:p>
        </w:tc>
        <w:tc>
          <w:tcPr>
            <w:vAlign w:val="center"/>
          </w:tcPr>
          <w:p w:rsidR="00000000" w:rsidDel="00000000" w:rsidP="00000000" w:rsidRDefault="00000000" w:rsidRPr="00000000" w14:paraId="0000009C">
            <w:pPr>
              <w:jc w:val="center"/>
              <w:rPr>
                <w:sz w:val="18"/>
                <w:szCs w:val="18"/>
              </w:rPr>
            </w:pPr>
            <w:r w:rsidDel="00000000" w:rsidR="00000000" w:rsidRPr="00000000">
              <w:rPr>
                <w:sz w:val="18"/>
                <w:szCs w:val="18"/>
                <w:rtl w:val="0"/>
              </w:rPr>
              <w:t xml:space="preserve">0.94</w:t>
            </w:r>
          </w:p>
        </w:tc>
        <w:tc>
          <w:tcPr>
            <w:vMerge w:val="restart"/>
            <w:vAlign w:val="center"/>
          </w:tcPr>
          <w:p w:rsidR="00000000" w:rsidDel="00000000" w:rsidP="00000000" w:rsidRDefault="00000000" w:rsidRPr="00000000" w14:paraId="0000009D">
            <w:pPr>
              <w:jc w:val="center"/>
              <w:rPr>
                <w:sz w:val="18"/>
                <w:szCs w:val="18"/>
              </w:rPr>
            </w:pPr>
            <w:r w:rsidDel="00000000" w:rsidR="00000000" w:rsidRPr="00000000">
              <w:rPr>
                <w:sz w:val="18"/>
                <w:szCs w:val="18"/>
                <w:rtl w:val="0"/>
              </w:rPr>
              <w:t xml:space="preserve">4.26725</w:t>
            </w:r>
          </w:p>
        </w:tc>
      </w:tr>
      <w:tr>
        <w:trPr>
          <w:cantSplit w:val="0"/>
          <w:trHeight w:val="315" w:hRule="atLeast"/>
          <w:tblHeader w:val="0"/>
        </w:trPr>
        <w:tc>
          <w:tcPr>
            <w:vMerge w:val="continue"/>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9F">
            <w:pPr>
              <w:jc w:val="center"/>
              <w:rPr>
                <w:sz w:val="18"/>
                <w:szCs w:val="18"/>
              </w:rPr>
            </w:pPr>
            <w:r w:rsidDel="00000000" w:rsidR="00000000" w:rsidRPr="00000000">
              <w:rPr>
                <w:sz w:val="18"/>
                <w:szCs w:val="18"/>
                <w:rtl w:val="0"/>
              </w:rPr>
              <w:t xml:space="preserve">MO_AMO2</w:t>
            </w:r>
          </w:p>
        </w:tc>
        <w:tc>
          <w:tcPr>
            <w:vAlign w:val="center"/>
          </w:tcPr>
          <w:p w:rsidR="00000000" w:rsidDel="00000000" w:rsidP="00000000" w:rsidRDefault="00000000" w:rsidRPr="00000000" w14:paraId="000000A0">
            <w:pPr>
              <w:jc w:val="center"/>
              <w:rPr>
                <w:sz w:val="18"/>
                <w:szCs w:val="18"/>
              </w:rPr>
            </w:pPr>
            <w:r w:rsidDel="00000000" w:rsidR="00000000" w:rsidRPr="00000000">
              <w:rPr>
                <w:sz w:val="18"/>
                <w:szCs w:val="18"/>
                <w:rtl w:val="0"/>
              </w:rPr>
              <w:t xml:space="preserve">4.3</w:t>
            </w:r>
          </w:p>
        </w:tc>
        <w:tc>
          <w:tcPr>
            <w:vAlign w:val="center"/>
          </w:tcPr>
          <w:p w:rsidR="00000000" w:rsidDel="00000000" w:rsidP="00000000" w:rsidRDefault="00000000" w:rsidRPr="00000000" w14:paraId="000000A1">
            <w:pPr>
              <w:jc w:val="center"/>
              <w:rPr>
                <w:sz w:val="18"/>
                <w:szCs w:val="18"/>
              </w:rPr>
            </w:pPr>
            <w:r w:rsidDel="00000000" w:rsidR="00000000" w:rsidRPr="00000000">
              <w:rPr>
                <w:sz w:val="18"/>
                <w:szCs w:val="18"/>
                <w:rtl w:val="0"/>
              </w:rPr>
              <w:t xml:space="preserve">0.894</w:t>
            </w:r>
          </w:p>
        </w:tc>
        <w:tc>
          <w:tcPr>
            <w:vMerge w:val="continue"/>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Align w:val="center"/>
          </w:tcPr>
          <w:p w:rsidR="00000000" w:rsidDel="00000000" w:rsidP="00000000" w:rsidRDefault="00000000" w:rsidRPr="00000000" w14:paraId="000000A4">
            <w:pPr>
              <w:jc w:val="center"/>
              <w:rPr>
                <w:sz w:val="18"/>
                <w:szCs w:val="18"/>
              </w:rPr>
            </w:pPr>
            <w:r w:rsidDel="00000000" w:rsidR="00000000" w:rsidRPr="00000000">
              <w:rPr>
                <w:sz w:val="18"/>
                <w:szCs w:val="18"/>
                <w:rtl w:val="0"/>
              </w:rPr>
              <w:t xml:space="preserve">MO_AMO3</w:t>
            </w:r>
          </w:p>
        </w:tc>
        <w:tc>
          <w:tcPr>
            <w:vAlign w:val="center"/>
          </w:tcPr>
          <w:p w:rsidR="00000000" w:rsidDel="00000000" w:rsidP="00000000" w:rsidRDefault="00000000" w:rsidRPr="00000000" w14:paraId="000000A5">
            <w:pPr>
              <w:jc w:val="center"/>
              <w:rPr>
                <w:sz w:val="18"/>
                <w:szCs w:val="18"/>
              </w:rPr>
            </w:pPr>
            <w:r w:rsidDel="00000000" w:rsidR="00000000" w:rsidRPr="00000000">
              <w:rPr>
                <w:sz w:val="18"/>
                <w:szCs w:val="18"/>
                <w:rtl w:val="0"/>
              </w:rPr>
              <w:t xml:space="preserve">4.364</w:t>
            </w:r>
          </w:p>
        </w:tc>
        <w:tc>
          <w:tcPr>
            <w:vAlign w:val="center"/>
          </w:tcPr>
          <w:p w:rsidR="00000000" w:rsidDel="00000000" w:rsidP="00000000" w:rsidRDefault="00000000" w:rsidRPr="00000000" w14:paraId="000000A6">
            <w:pPr>
              <w:jc w:val="center"/>
              <w:rPr>
                <w:sz w:val="18"/>
                <w:szCs w:val="18"/>
              </w:rPr>
            </w:pPr>
            <w:r w:rsidDel="00000000" w:rsidR="00000000" w:rsidRPr="00000000">
              <w:rPr>
                <w:sz w:val="18"/>
                <w:szCs w:val="18"/>
                <w:rtl w:val="0"/>
              </w:rPr>
              <w:t xml:space="preserve">0.843</w:t>
            </w:r>
          </w:p>
        </w:tc>
        <w:tc>
          <w:tcPr>
            <w:vMerge w:val="continue"/>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15" w:hRule="atLeast"/>
          <w:tblHeader w:val="0"/>
        </w:trPr>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A9">
            <w:pPr>
              <w:jc w:val="center"/>
              <w:rPr>
                <w:sz w:val="18"/>
                <w:szCs w:val="18"/>
              </w:rPr>
            </w:pPr>
            <w:r w:rsidDel="00000000" w:rsidR="00000000" w:rsidRPr="00000000">
              <w:rPr>
                <w:sz w:val="18"/>
                <w:szCs w:val="18"/>
                <w:rtl w:val="0"/>
              </w:rPr>
              <w:t xml:space="preserve">MO_AMO4</w:t>
            </w:r>
          </w:p>
        </w:tc>
        <w:tc>
          <w:tcPr>
            <w:tcBorders>
              <w:bottom w:color="000000" w:space="0" w:sz="4" w:val="single"/>
            </w:tcBorders>
            <w:vAlign w:val="center"/>
          </w:tcPr>
          <w:p w:rsidR="00000000" w:rsidDel="00000000" w:rsidP="00000000" w:rsidRDefault="00000000" w:rsidRPr="00000000" w14:paraId="000000AA">
            <w:pPr>
              <w:jc w:val="center"/>
              <w:rPr>
                <w:sz w:val="18"/>
                <w:szCs w:val="18"/>
              </w:rPr>
            </w:pPr>
            <w:r w:rsidDel="00000000" w:rsidR="00000000" w:rsidRPr="00000000">
              <w:rPr>
                <w:sz w:val="18"/>
                <w:szCs w:val="18"/>
                <w:rtl w:val="0"/>
              </w:rPr>
              <w:t xml:space="preserve">4.281</w:t>
            </w:r>
          </w:p>
        </w:tc>
        <w:tc>
          <w:tcPr>
            <w:tcBorders>
              <w:bottom w:color="000000" w:space="0" w:sz="4" w:val="single"/>
            </w:tcBorders>
            <w:vAlign w:val="center"/>
          </w:tcPr>
          <w:p w:rsidR="00000000" w:rsidDel="00000000" w:rsidP="00000000" w:rsidRDefault="00000000" w:rsidRPr="00000000" w14:paraId="000000AB">
            <w:pPr>
              <w:jc w:val="center"/>
              <w:rPr>
                <w:sz w:val="18"/>
                <w:szCs w:val="18"/>
              </w:rPr>
            </w:pPr>
            <w:r w:rsidDel="00000000" w:rsidR="00000000" w:rsidRPr="00000000">
              <w:rPr>
                <w:sz w:val="18"/>
                <w:szCs w:val="18"/>
                <w:rtl w:val="0"/>
              </w:rPr>
              <w:t xml:space="preserve">0.853</w:t>
            </w:r>
          </w:p>
        </w:tc>
        <w:tc>
          <w:tcPr>
            <w:vMerge w:val="continue"/>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AD">
      <w:pPr>
        <w:spacing w:before="240" w:lineRule="auto"/>
        <w:ind w:right="4" w:firstLine="900"/>
        <w:jc w:val="both"/>
        <w:rPr/>
      </w:pPr>
      <w:r w:rsidDel="00000000" w:rsidR="00000000" w:rsidRPr="00000000">
        <w:rPr>
          <w:rtl w:val="0"/>
        </w:rPr>
        <w:t xml:space="preserve">Distribusi skor </w:t>
      </w:r>
      <w:r w:rsidDel="00000000" w:rsidR="00000000" w:rsidRPr="00000000">
        <w:rPr>
          <w:i w:val="1"/>
          <w:iCs w:val="1"/>
          <w:rtl w:val="0"/>
        </w:rPr>
        <w:t xml:space="preserve">safety motivation</w:t>
      </w:r>
      <w:r w:rsidDel="00000000" w:rsidR="00000000" w:rsidRPr="00000000">
        <w:rPr>
          <w:rtl w:val="0"/>
        </w:rPr>
        <w:t xml:space="preserve"> per dimensi divisualisasikan melalui </w:t>
      </w:r>
      <w:r w:rsidDel="00000000" w:rsidR="00000000" w:rsidRPr="00000000">
        <w:rPr>
          <w:i w:val="1"/>
          <w:iCs w:val="1"/>
          <w:rtl w:val="0"/>
        </w:rPr>
        <w:t xml:space="preserve">raincloud plot</w:t>
      </w:r>
      <w:r w:rsidDel="00000000" w:rsidR="00000000" w:rsidRPr="00000000">
        <w:rPr>
          <w:rtl w:val="0"/>
        </w:rPr>
        <w:t xml:space="preserve"> pada Gambar 2. Secara umum, </w:t>
      </w:r>
      <w:r w:rsidDel="00000000" w:rsidR="00000000" w:rsidRPr="00000000">
        <w:rPr>
          <w:i w:val="1"/>
          <w:iCs w:val="1"/>
          <w:rtl w:val="0"/>
        </w:rPr>
        <w:t xml:space="preserve">mean</w:t>
      </w:r>
      <w:r w:rsidDel="00000000" w:rsidR="00000000" w:rsidRPr="00000000">
        <w:rPr>
          <w:rtl w:val="0"/>
        </w:rPr>
        <w:t xml:space="preserve"> indikator berkisar antara 3,290–4,747 dengan SD 0,477–1,129, dan sebagian besar jawaban responden terkonsentrasi pada rentang nilai 4 (setuju) hingga 5 (sangat setuju). Kelompok dimensi </w:t>
      </w:r>
      <w:r w:rsidDel="00000000" w:rsidR="00000000" w:rsidRPr="00000000">
        <w:rPr>
          <w:i w:val="1"/>
          <w:iCs w:val="1"/>
          <w:rtl w:val="0"/>
        </w:rPr>
        <w:t xml:space="preserve">autonomous safety motivation</w:t>
      </w:r>
      <w:r w:rsidDel="00000000" w:rsidR="00000000" w:rsidRPr="00000000">
        <w:rPr>
          <w:rtl w:val="0"/>
        </w:rPr>
        <w:t xml:space="preserve">, yakni MOT_IDE dan MOT_INT, menunjukkan kurva yang terfokus tinggi dengan ekor kiri yang panjang, mengindikasikan kru kapal cenderung memandang keselamatan sebagai nilai yang diyakini dan dihargai secara personal. Sebaliknya, dimensi MOT_EXT menunjukkan bentuk kurva yang hampir simetris dan pola distribusi yang jauh lebih melebar dibandingkan dimensi lainnya, mencerminkan variasi persepsi yang besar antar responden terkait motivasi eksternal. </w:t>
      </w:r>
    </w:p>
    <w:p w:rsidR="00000000" w:rsidDel="00000000" w:rsidP="00000000" w:rsidRDefault="00000000" w:rsidRPr="00000000" w14:paraId="000000AE">
      <w:pPr>
        <w:keepNext w:val="1"/>
        <w:jc w:val="center"/>
        <w:rPr/>
      </w:pPr>
      <w:r w:rsidDel="00000000" w:rsidR="00000000" w:rsidRPr="00000000">
        <w:rPr/>
        <w:drawing>
          <wp:inline distB="0" distT="0" distL="0" distR="0">
            <wp:extent cx="3263254" cy="2175369"/>
            <wp:effectExtent b="0" l="0" r="0" t="0"/>
            <wp:docPr id="142438865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263254" cy="2175369"/>
                    </a:xfrm>
                    <a:prstGeom prst="rect"/>
                    <a:ln/>
                  </pic:spPr>
                </pic:pic>
              </a:graphicData>
            </a:graphic>
          </wp:inline>
        </w:drawing>
      </w:r>
      <w:r w:rsidDel="00000000" w:rsidR="00000000" w:rsidRPr="00000000">
        <w:rPr>
          <w:rtl w:val="0"/>
        </w:rPr>
      </w:r>
    </w:p>
    <w:bookmarkStart w:colFirst="0" w:colLast="0" w:name="bookmark=id.5swktvnsi0om" w:id="5"/>
    <w:bookmarkEnd w:id="5"/>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Raincloud plot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distribusi skor konstruk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motivation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per dimensi (n = 217). Kurva di atas menunjukkan estimasi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density kernel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kotak menunjukkan median,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inter quartil range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rentang data; titik berlian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menunjukkan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mean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titik di bawah menunjukkan skor individual.</w:t>
      </w:r>
    </w:p>
    <w:p w:rsidR="00000000" w:rsidDel="00000000" w:rsidP="00000000" w:rsidRDefault="00000000" w:rsidRPr="00000000" w14:paraId="000000B0">
      <w:pPr>
        <w:ind w:firstLine="720"/>
        <w:jc w:val="both"/>
        <w:rPr/>
      </w:pPr>
      <w:r w:rsidDel="00000000" w:rsidR="00000000" w:rsidRPr="00000000">
        <w:rPr>
          <w:rtl w:val="0"/>
        </w:rPr>
        <w:t xml:space="preserve">Tahap selanjutnya adalah mengukur mengukur </w:t>
      </w:r>
      <w:r w:rsidDel="00000000" w:rsidR="00000000" w:rsidRPr="00000000">
        <w:rPr>
          <w:i w:val="1"/>
          <w:iCs w:val="1"/>
          <w:rtl w:val="0"/>
        </w:rPr>
        <w:t xml:space="preserve">safety motivation </w:t>
      </w:r>
      <w:r w:rsidDel="00000000" w:rsidR="00000000" w:rsidRPr="00000000">
        <w:rPr>
          <w:rtl w:val="0"/>
        </w:rPr>
        <w:t xml:space="preserve">dengan menghitung rata-rata total dari respons menurut setiap dimensi terkait, hasilnya tertera pada Tabel 1. Hasil pengolahan kemudian di visualisasikan dengan radar grafik pada Gambar 3. Kondisi </w:t>
      </w:r>
      <w:r w:rsidDel="00000000" w:rsidR="00000000" w:rsidRPr="00000000">
        <w:rPr>
          <w:i w:val="1"/>
          <w:iCs w:val="1"/>
          <w:rtl w:val="0"/>
        </w:rPr>
        <w:t xml:space="preserve">safety motivation </w:t>
      </w:r>
      <w:r w:rsidDel="00000000" w:rsidR="00000000" w:rsidRPr="00000000">
        <w:rPr>
          <w:rtl w:val="0"/>
        </w:rPr>
        <w:t xml:space="preserve">pada kru kapal operasional </w:t>
      </w:r>
      <w:r w:rsidDel="00000000" w:rsidR="00000000" w:rsidRPr="00000000">
        <w:rPr>
          <w:i w:val="1"/>
          <w:iCs w:val="1"/>
          <w:rtl w:val="0"/>
        </w:rPr>
        <w:t xml:space="preserve">transshipment </w:t>
      </w:r>
      <w:r w:rsidDel="00000000" w:rsidR="00000000" w:rsidRPr="00000000">
        <w:rPr>
          <w:rtl w:val="0"/>
        </w:rPr>
        <w:t xml:space="preserve">menunjukkan kecenderungan pada </w:t>
      </w:r>
      <w:r w:rsidDel="00000000" w:rsidR="00000000" w:rsidRPr="00000000">
        <w:rPr>
          <w:i w:val="1"/>
          <w:iCs w:val="1"/>
          <w:rtl w:val="0"/>
        </w:rPr>
        <w:t xml:space="preserve">intrinsic safety motivation. </w:t>
      </w:r>
      <w:r w:rsidDel="00000000" w:rsidR="00000000" w:rsidRPr="00000000">
        <w:rPr>
          <w:rtl w:val="0"/>
        </w:rPr>
        <w:t xml:space="preserve">Hal ini sejalan dengan distribusi data pada Gambar 2, yang mengindikasikan bahwa kru kapal menganggap bahwa </w:t>
      </w:r>
      <w:r w:rsidDel="00000000" w:rsidR="00000000" w:rsidRPr="00000000">
        <w:rPr>
          <w:i w:val="1"/>
          <w:iCs w:val="1"/>
          <w:rtl w:val="0"/>
        </w:rPr>
        <w:t xml:space="preserve">safety motivation </w:t>
      </w:r>
      <w:r w:rsidDel="00000000" w:rsidR="00000000" w:rsidRPr="00000000">
        <w:rPr>
          <w:rtl w:val="0"/>
        </w:rPr>
        <w:t xml:space="preserve">yang ada muncul karena kesenangan atau minat terhadap perilaku keselamatan itu sendiri. </w:t>
      </w:r>
    </w:p>
    <w:p w:rsidR="00000000" w:rsidDel="00000000" w:rsidP="00000000" w:rsidRDefault="00000000" w:rsidRPr="00000000" w14:paraId="000000B1">
      <w:pPr>
        <w:keepNext w:val="1"/>
        <w:rPr/>
      </w:pPr>
      <w:r w:rsidDel="00000000" w:rsidR="00000000" w:rsidRPr="00000000">
        <w:rPr/>
        <w:drawing>
          <wp:inline distB="0" distT="0" distL="0" distR="0">
            <wp:extent cx="5715635" cy="1701579"/>
            <wp:docPr id="1424388656" name=""/>
            <a:graphic>
              <a:graphicData uri="http://schemas.openxmlformats.org/drawingml/2006/chart">
                <c:chart r:id="rId10"/>
              </a:graphicData>
            </a:graphic>
          </wp:inline>
        </w:drawing>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Grafik radar skor Safety Motivation di Operasional Transshipment</w:t>
      </w:r>
    </w:p>
    <w:p w:rsidR="00000000" w:rsidDel="00000000" w:rsidP="00000000" w:rsidRDefault="00000000" w:rsidRPr="00000000" w14:paraId="000000B3">
      <w:pPr>
        <w:spacing w:after="120" w:lineRule="auto"/>
        <w:ind w:firstLine="360"/>
        <w:jc w:val="both"/>
        <w:rPr/>
      </w:pPr>
      <w:r w:rsidDel="00000000" w:rsidR="00000000" w:rsidRPr="00000000">
        <w:rPr>
          <w:rtl w:val="0"/>
        </w:rPr>
        <w:t xml:space="preserve">Pola sebaran jawaban pada Gambar 3 memperlihatkan gradasi yang sejalan dengan kontinum regulasi dalam </w:t>
      </w:r>
      <w:r w:rsidDel="00000000" w:rsidR="00000000" w:rsidRPr="00000000">
        <w:rPr>
          <w:i w:val="1"/>
          <w:iCs w:val="1"/>
          <w:rtl w:val="0"/>
        </w:rPr>
        <w:t xml:space="preserve">self-determination theory</w:t>
      </w:r>
      <w:r w:rsidDel="00000000" w:rsidR="00000000" w:rsidRPr="00000000">
        <w:rPr>
          <w:rtl w:val="0"/>
        </w:rPr>
        <w:t xml:space="preserve"> (SDT), mulai dari </w:t>
      </w:r>
      <w:r w:rsidDel="00000000" w:rsidR="00000000" w:rsidRPr="00000000">
        <w:rPr>
          <w:i w:val="1"/>
          <w:iCs w:val="1"/>
          <w:rtl w:val="0"/>
        </w:rPr>
        <w:t xml:space="preserve">amotivation</w:t>
      </w:r>
      <w:r w:rsidDel="00000000" w:rsidR="00000000" w:rsidRPr="00000000">
        <w:rPr>
          <w:rtl w:val="0"/>
        </w:rPr>
        <w:t xml:space="preserve">, </w:t>
      </w:r>
      <w:r w:rsidDel="00000000" w:rsidR="00000000" w:rsidRPr="00000000">
        <w:rPr>
          <w:i w:val="1"/>
          <w:iCs w:val="1"/>
          <w:rtl w:val="0"/>
        </w:rPr>
        <w:t xml:space="preserve">external safety motivation</w:t>
      </w:r>
      <w:r w:rsidDel="00000000" w:rsidR="00000000" w:rsidRPr="00000000">
        <w:rPr>
          <w:rtl w:val="0"/>
        </w:rPr>
        <w:t xml:space="preserve">, </w:t>
      </w:r>
      <w:r w:rsidDel="00000000" w:rsidR="00000000" w:rsidRPr="00000000">
        <w:rPr>
          <w:i w:val="1"/>
          <w:iCs w:val="1"/>
          <w:rtl w:val="0"/>
        </w:rPr>
        <w:t xml:space="preserve">introjected safety motivation</w:t>
      </w:r>
      <w:r w:rsidDel="00000000" w:rsidR="00000000" w:rsidRPr="00000000">
        <w:rPr>
          <w:rtl w:val="0"/>
        </w:rPr>
        <w:t xml:space="preserve">, </w:t>
      </w:r>
      <w:r w:rsidDel="00000000" w:rsidR="00000000" w:rsidRPr="00000000">
        <w:rPr>
          <w:i w:val="1"/>
          <w:iCs w:val="1"/>
          <w:rtl w:val="0"/>
        </w:rPr>
        <w:t xml:space="preserve">identified safety motivation</w:t>
      </w:r>
      <w:r w:rsidDel="00000000" w:rsidR="00000000" w:rsidRPr="00000000">
        <w:rPr>
          <w:rtl w:val="0"/>
        </w:rPr>
        <w:t xml:space="preserve">, hingga </w:t>
      </w:r>
      <w:r w:rsidDel="00000000" w:rsidR="00000000" w:rsidRPr="00000000">
        <w:rPr>
          <w:i w:val="1"/>
          <w:iCs w:val="1"/>
          <w:rtl w:val="0"/>
        </w:rPr>
        <w:t xml:space="preserve">intrinsic safety motivation</w:t>
      </w:r>
      <w:r w:rsidDel="00000000" w:rsidR="00000000" w:rsidRPr="00000000">
        <w:rPr>
          <w:rtl w:val="0"/>
        </w:rPr>
        <w:t xml:space="preserve"> </w:t>
      </w:r>
      <w:r w:rsidDel="00000000" w:rsidR="00000000" w:rsidRPr="00000000">
        <w:rPr>
          <w:color w:val="000000"/>
          <w:rtl w:val="0"/>
        </w:rPr>
        <w:t xml:space="preserve">(Ryan &amp; Deci, 2000)</w:t>
      </w:r>
      <w:r w:rsidDel="00000000" w:rsidR="00000000" w:rsidRPr="00000000">
        <w:rPr>
          <w:rtl w:val="0"/>
        </w:rPr>
        <w:t xml:space="preserve">. Kru kapal secara konsisten memberikan penilaian tinggi dan homogen pada dimensi MOT_IDE (M = 4,664–4,700) dan MOT_INT (M = 4,535–4,747) yang berada di ujung </w:t>
      </w:r>
      <w:r w:rsidDel="00000000" w:rsidR="00000000" w:rsidRPr="00000000">
        <w:rPr>
          <w:i w:val="1"/>
          <w:iCs w:val="1"/>
          <w:rtl w:val="0"/>
        </w:rPr>
        <w:t xml:space="preserve">autonomous</w:t>
      </w:r>
      <w:r w:rsidDel="00000000" w:rsidR="00000000" w:rsidRPr="00000000">
        <w:rPr>
          <w:rtl w:val="0"/>
        </w:rPr>
        <w:t xml:space="preserve">, sementara penilaian pada MOT_EXT (M = 3,290–4,060) jauh lebih rendah dan bervariasi luas antar individu. Temuan ini konsisten dengan kajian </w:t>
      </w:r>
      <w:r w:rsidDel="00000000" w:rsidR="00000000" w:rsidRPr="00000000">
        <w:rPr>
          <w:color w:val="000000"/>
          <w:rtl w:val="0"/>
        </w:rPr>
        <w:t xml:space="preserve">Fleming (2012)</w:t>
      </w:r>
      <w:r w:rsidDel="00000000" w:rsidR="00000000" w:rsidRPr="00000000">
        <w:rPr>
          <w:rtl w:val="0"/>
        </w:rPr>
        <w:t xml:space="preserve"> yang menegaskan bahwa motivasi keselamatan yang terinternalisasi cenderung lebih stabil karena berasal dari nilai personal, berbeda dengan motivasi yang dikendalikan faktor eksternal yang rentan dipersepsikan secara beragam sesuai konteks dan pengalaman individu masing-masing pekerja.</w:t>
      </w:r>
    </w:p>
    <w:p w:rsidR="00000000" w:rsidDel="00000000" w:rsidP="00000000" w:rsidRDefault="00000000" w:rsidRPr="00000000" w14:paraId="000000B4">
      <w:pPr>
        <w:spacing w:after="120" w:lineRule="auto"/>
        <w:ind w:firstLine="360"/>
        <w:jc w:val="both"/>
        <w:rPr/>
      </w:pPr>
      <w:r w:rsidDel="00000000" w:rsidR="00000000" w:rsidRPr="00000000">
        <w:rPr>
          <w:rtl w:val="0"/>
        </w:rPr>
        <w:t xml:space="preserve">Pola </w:t>
      </w:r>
      <w:r w:rsidDel="00000000" w:rsidR="00000000" w:rsidRPr="00000000">
        <w:rPr>
          <w:i w:val="1"/>
          <w:iCs w:val="1"/>
          <w:rtl w:val="0"/>
        </w:rPr>
        <w:t xml:space="preserve">autonomous</w:t>
      </w:r>
      <w:r w:rsidDel="00000000" w:rsidR="00000000" w:rsidRPr="00000000">
        <w:rPr>
          <w:rtl w:val="0"/>
        </w:rPr>
        <w:t xml:space="preserve"> yang tinggi-konsisten versus controlled yang rendah-bervariasi ini juga relevan dikaitkan dengan kondisi program </w:t>
      </w:r>
      <w:r w:rsidDel="00000000" w:rsidR="00000000" w:rsidRPr="00000000">
        <w:rPr>
          <w:i w:val="1"/>
          <w:iCs w:val="1"/>
          <w:rtl w:val="0"/>
        </w:rPr>
        <w:t xml:space="preserve">safety rewards and punishments</w:t>
      </w:r>
      <w:r w:rsidDel="00000000" w:rsidR="00000000" w:rsidRPr="00000000">
        <w:rPr>
          <w:rtl w:val="0"/>
        </w:rPr>
        <w:t xml:space="preserve"> (SRP) yang berjalan di perusahaan. Implementasi program ini sejalan dengan prinsip BBS yang mengatur perilaku pekerja dengan mengubah kontingensi lingkungan melalui penguatan spesifik (</w:t>
      </w:r>
      <w:r w:rsidDel="00000000" w:rsidR="00000000" w:rsidRPr="00000000">
        <w:rPr>
          <w:i w:val="1"/>
          <w:iCs w:val="1"/>
          <w:rtl w:val="0"/>
        </w:rPr>
        <w:t xml:space="preserve">reinforcement</w:t>
      </w:r>
      <w:r w:rsidDel="00000000" w:rsidR="00000000" w:rsidRPr="00000000">
        <w:rPr>
          <w:rtl w:val="0"/>
        </w:rPr>
        <w:t xml:space="preserve">) untuk memotivasi pekerja mengadopsi </w:t>
      </w:r>
      <w:r w:rsidDel="00000000" w:rsidR="00000000" w:rsidRPr="00000000">
        <w:rPr>
          <w:i w:val="1"/>
          <w:iCs w:val="1"/>
          <w:rtl w:val="0"/>
        </w:rPr>
        <w:t xml:space="preserve">safety behavior</w:t>
      </w:r>
      <w:r w:rsidDel="00000000" w:rsidR="00000000" w:rsidRPr="00000000">
        <w:rPr>
          <w:rtl w:val="0"/>
        </w:rPr>
        <w:t xml:space="preserve"> tertentu </w:t>
      </w:r>
      <w:r w:rsidDel="00000000" w:rsidR="00000000" w:rsidRPr="00000000">
        <w:rPr>
          <w:color w:val="000000"/>
          <w:rtl w:val="0"/>
        </w:rPr>
        <w:t xml:space="preserve">(DeJoy, 2005; Fleming, 2012)</w:t>
      </w:r>
      <w:r w:rsidDel="00000000" w:rsidR="00000000" w:rsidRPr="00000000">
        <w:rPr>
          <w:rtl w:val="0"/>
        </w:rPr>
        <w:t xml:space="preserve">. Program SRP dirancang melalui sistem poin yang memberikan penghargaan atas pelaporan </w:t>
      </w:r>
      <w:r w:rsidDel="00000000" w:rsidR="00000000" w:rsidRPr="00000000">
        <w:rPr>
          <w:i w:val="1"/>
          <w:iCs w:val="1"/>
          <w:rtl w:val="0"/>
        </w:rPr>
        <w:t xml:space="preserve">tindakan tidak aman</w:t>
      </w:r>
      <w:r w:rsidDel="00000000" w:rsidR="00000000" w:rsidRPr="00000000">
        <w:rPr>
          <w:rtl w:val="0"/>
        </w:rPr>
        <w:t xml:space="preserve"> (TTA) dan </w:t>
      </w:r>
      <w:r w:rsidDel="00000000" w:rsidR="00000000" w:rsidRPr="00000000">
        <w:rPr>
          <w:i w:val="1"/>
          <w:iCs w:val="1"/>
          <w:rtl w:val="0"/>
        </w:rPr>
        <w:t xml:space="preserve">kondisi tidak aman</w:t>
      </w:r>
      <w:r w:rsidDel="00000000" w:rsidR="00000000" w:rsidRPr="00000000">
        <w:rPr>
          <w:rtl w:val="0"/>
        </w:rPr>
        <w:t xml:space="preserve"> (KTA), kegiatan rutin seperti pertemuan lima menit (P5M) dan pengecekan dan pemeriksaan harian (P2H), pencapaian target survei dan perawatan mesin mingguan, hingga kategori </w:t>
      </w:r>
      <w:r w:rsidDel="00000000" w:rsidR="00000000" w:rsidRPr="00000000">
        <w:rPr>
          <w:i w:val="1"/>
          <w:iCs w:val="1"/>
          <w:rtl w:val="0"/>
        </w:rPr>
        <w:t xml:space="preserve">Golden Goal</w:t>
      </w:r>
      <w:r w:rsidDel="00000000" w:rsidR="00000000" w:rsidRPr="00000000">
        <w:rPr>
          <w:rtl w:val="0"/>
        </w:rPr>
        <w:t xml:space="preserve"> untuk simulasi tanggap darurat dan pelaporan </w:t>
      </w:r>
      <w:r w:rsidDel="00000000" w:rsidR="00000000" w:rsidRPr="00000000">
        <w:rPr>
          <w:i w:val="1"/>
          <w:iCs w:val="1"/>
          <w:rtl w:val="0"/>
        </w:rPr>
        <w:t xml:space="preserve">near miss</w:t>
      </w:r>
      <w:r w:rsidDel="00000000" w:rsidR="00000000" w:rsidRPr="00000000">
        <w:rPr>
          <w:rtl w:val="0"/>
        </w:rPr>
        <w:t xml:space="preserve">; sebaliknya, pengurangan poin maupun diskualifikasi diberlakukan bagi tim yang mendapat laporan TTA dari pihak lain atau mengalami insiden. Mekanisme ini secara konseptual paling dekat dengan karakter MOT_EXT, yaitu motivasi yang bersifat terkontrol dan bersumber dari luar diri individu (Fleming, 2012; Ryan &amp; Deci, 2000). Skor MOT_EXT yang relatif rendah dan paling bervariasi dapat dimaknai sebagai sinyal bahwa program SRP, meskipun telah berjalan dan menawarkan insentif berjenjang, baru menyentuh lapisan motivasi yang terkontrol secara eksternal dan belum sepenuhnya terinternalisasi menjadi nilai pribadi kru kapal.</w:t>
      </w:r>
    </w:p>
    <w:p w:rsidR="00000000" w:rsidDel="00000000" w:rsidP="00000000" w:rsidRDefault="00000000" w:rsidRPr="00000000" w14:paraId="000000B5">
      <w:pPr>
        <w:spacing w:after="120" w:lineRule="auto"/>
        <w:ind w:firstLine="360"/>
        <w:jc w:val="both"/>
        <w:rPr/>
      </w:pPr>
      <w:r w:rsidDel="00000000" w:rsidR="00000000" w:rsidRPr="00000000">
        <w:rPr>
          <w:rtl w:val="0"/>
        </w:rPr>
        <w:t xml:space="preserve">Dalam kerangka SDT, motivasi yang masih berada pada ujung </w:t>
      </w:r>
      <w:r w:rsidDel="00000000" w:rsidR="00000000" w:rsidRPr="00000000">
        <w:rPr>
          <w:i w:val="1"/>
          <w:iCs w:val="1"/>
          <w:rtl w:val="0"/>
        </w:rPr>
        <w:t xml:space="preserve">controlled</w:t>
      </w:r>
      <w:r w:rsidDel="00000000" w:rsidR="00000000" w:rsidRPr="00000000">
        <w:rPr>
          <w:rtl w:val="0"/>
        </w:rPr>
        <w:t xml:space="preserve"> cenderung bersifat kondisional, yakni perilaku aman ditampilkan selama insentif atau pengawasan tetap berjalan, namun berisiko melemah ketika sistem poin dilonggarkan atau pengawasan berkurang (Ryan &amp; Deci, 2000). Indikasi ini turut tercermin dari kesenjangan rasio pelaporan TTA dan KTA yang masih jomplang meski SRP telah diterapkan; pelaporan KTA dipandang lebih aman bagi pelapor karena tidak menunjuk individu tertentu, sementara pelaporan TTA berisiko memunculkan implikasi saling menyalahkan antar individu maupun terhadap diri sendiri. Hal ini menunjukkan bahwa skor rendah-bervariasi pada MOT_EXT bukan sekadar artefak statistik, melainkan menggambarkan bagaimana sebagian kru kapal masih memaknai keselamatan sebagai konsekuensi dari sistem </w:t>
      </w:r>
      <w:r w:rsidDel="00000000" w:rsidR="00000000" w:rsidRPr="00000000">
        <w:rPr>
          <w:i w:val="1"/>
          <w:iCs w:val="1"/>
          <w:rtl w:val="0"/>
        </w:rPr>
        <w:t xml:space="preserve">reward-punishment</w:t>
      </w:r>
      <w:r w:rsidDel="00000000" w:rsidR="00000000" w:rsidRPr="00000000">
        <w:rPr>
          <w:rtl w:val="0"/>
        </w:rPr>
        <w:t xml:space="preserve">, bukan sebagai nilai yang dipegang secara </w:t>
      </w:r>
      <w:r w:rsidDel="00000000" w:rsidR="00000000" w:rsidRPr="00000000">
        <w:rPr>
          <w:i w:val="1"/>
          <w:iCs w:val="1"/>
          <w:rtl w:val="0"/>
        </w:rPr>
        <w:t xml:space="preserve">autonomous</w:t>
      </w:r>
      <w:r w:rsidDel="00000000" w:rsidR="00000000" w:rsidRPr="00000000">
        <w:rPr>
          <w:rtl w:val="0"/>
        </w:rPr>
        <w:t xml:space="preserve">. Fenomena yang sama turut terjadi dalam penelitian </w:t>
      </w:r>
      <w:r w:rsidDel="00000000" w:rsidR="00000000" w:rsidRPr="00000000">
        <w:rPr>
          <w:color w:val="000000"/>
          <w:rtl w:val="0"/>
        </w:rPr>
        <w:t xml:space="preserve">David Oswald et al. (2019, yang melaporkan risiko </w:t>
      </w:r>
      <w:r w:rsidDel="00000000" w:rsidR="00000000" w:rsidRPr="00000000">
        <w:rPr>
          <w:i w:val="1"/>
          <w:iCs w:val="1"/>
          <w:color w:val="000000"/>
          <w:rtl w:val="0"/>
        </w:rPr>
        <w:t xml:space="preserve">blame culture </w:t>
      </w:r>
      <w:r w:rsidDel="00000000" w:rsidR="00000000" w:rsidRPr="00000000">
        <w:rPr>
          <w:color w:val="000000"/>
          <w:rtl w:val="0"/>
        </w:rPr>
        <w:t xml:space="preserve">dan penghindaran laporan karena sistem penghargaan kelompok yang menargetkan rendahnya atau ketiadaan insiden berisiko menciptakan tekanan pada pekerja untuk tidak melaporkan masalah agar tidak merusak penghargaan atau rekor bagi rekan kerja lainnya. Kasus ekstrem pada penelitian David Oswald et al. (2019), bahkan melibatkan fabrikasi laporan oleh pekerja yang sengaja menyalakan api agar bisa memadamkannya demi memenangkan penghargaan.</w:t>
      </w:r>
      <w:r w:rsidDel="00000000" w:rsidR="00000000" w:rsidRPr="00000000">
        <w:rPr>
          <w:rtl w:val="0"/>
        </w:rPr>
      </w:r>
    </w:p>
    <w:p w:rsidR="00000000" w:rsidDel="00000000" w:rsidP="00000000" w:rsidRDefault="00000000" w:rsidRPr="00000000" w14:paraId="000000B6">
      <w:pPr>
        <w:spacing w:after="120" w:lineRule="auto"/>
        <w:ind w:firstLine="360"/>
        <w:jc w:val="both"/>
        <w:rPr/>
      </w:pPr>
      <w:r w:rsidDel="00000000" w:rsidR="00000000" w:rsidRPr="00000000">
        <w:rPr>
          <w:rtl w:val="0"/>
        </w:rPr>
        <w:t xml:space="preserve">Sebaliknya, dimensi </w:t>
      </w:r>
      <w:r w:rsidDel="00000000" w:rsidR="00000000" w:rsidRPr="00000000">
        <w:rPr>
          <w:i w:val="1"/>
          <w:iCs w:val="1"/>
          <w:rtl w:val="0"/>
        </w:rPr>
        <w:t xml:space="preserve">introjected safety motivation</w:t>
      </w:r>
      <w:r w:rsidDel="00000000" w:rsidR="00000000" w:rsidRPr="00000000">
        <w:rPr>
          <w:rtl w:val="0"/>
        </w:rPr>
        <w:t xml:space="preserve"> (MOT_INJ) yang berada pada posisi peralihan turut menunjukkan keterkaitan dengan mekanisme SRP, misalnya melalui aturan </w:t>
      </w:r>
      <w:r w:rsidDel="00000000" w:rsidR="00000000" w:rsidRPr="00000000">
        <w:rPr>
          <w:i w:val="1"/>
          <w:iCs w:val="1"/>
          <w:rtl w:val="0"/>
        </w:rPr>
        <w:t xml:space="preserve">Foul</w:t>
      </w:r>
      <w:r w:rsidDel="00000000" w:rsidR="00000000" w:rsidRPr="00000000">
        <w:rPr>
          <w:rtl w:val="0"/>
        </w:rPr>
        <w:t xml:space="preserve"> yang dirancang agar kru enggan melakukan kecerobohan yang merugikan poin rekan satu timnya, serta apresiasi lisan dari Penanggung Jawab Operasional (PJO) atau Master kepada tim dengan poin tertinggi. Mekanisme ini menyentuh rasa bersalah dan kebanggaan pribadi yang menjadi ciri khas regulasi introjeksi, namun tetap belum setara dengan derajat internalisasi pada MOT_IDE dan MOT_INT. Temuan ini sejalan dengan </w:t>
      </w:r>
      <w:r w:rsidDel="00000000" w:rsidR="00000000" w:rsidRPr="00000000">
        <w:rPr>
          <w:color w:val="000000"/>
          <w:rtl w:val="0"/>
        </w:rPr>
        <w:t xml:space="preserve">Xiang et al. (2025)</w:t>
      </w:r>
      <w:r w:rsidDel="00000000" w:rsidR="00000000" w:rsidRPr="00000000">
        <w:rPr>
          <w:rtl w:val="0"/>
        </w:rPr>
        <w:t xml:space="preserve"> yang menemukan bahwa pada pekerja konstruksi di Tiongkok, kelompok </w:t>
      </w:r>
      <w:r w:rsidDel="00000000" w:rsidR="00000000" w:rsidRPr="00000000">
        <w:rPr>
          <w:i w:val="1"/>
          <w:iCs w:val="1"/>
          <w:rtl w:val="0"/>
        </w:rPr>
        <w:t xml:space="preserve">autonomous safety motivation</w:t>
      </w:r>
      <w:r w:rsidDel="00000000" w:rsidR="00000000" w:rsidRPr="00000000">
        <w:rPr>
          <w:rtl w:val="0"/>
        </w:rPr>
        <w:t xml:space="preserve"> (</w:t>
      </w:r>
      <w:r w:rsidDel="00000000" w:rsidR="00000000" w:rsidRPr="00000000">
        <w:rPr>
          <w:i w:val="1"/>
          <w:iCs w:val="1"/>
          <w:rtl w:val="0"/>
        </w:rPr>
        <w:t xml:space="preserve">identified dan intrinsic</w:t>
      </w:r>
      <w:r w:rsidDel="00000000" w:rsidR="00000000" w:rsidRPr="00000000">
        <w:rPr>
          <w:rtl w:val="0"/>
        </w:rPr>
        <w:t xml:space="preserve">) berpengaruh langsung terhadap </w:t>
      </w:r>
      <w:r w:rsidDel="00000000" w:rsidR="00000000" w:rsidRPr="00000000">
        <w:rPr>
          <w:i w:val="1"/>
          <w:iCs w:val="1"/>
          <w:rtl w:val="0"/>
        </w:rPr>
        <w:t xml:space="preserve">safety behavior</w:t>
      </w:r>
      <w:r w:rsidDel="00000000" w:rsidR="00000000" w:rsidRPr="00000000">
        <w:rPr>
          <w:rtl w:val="0"/>
        </w:rPr>
        <w:t xml:space="preserve">, sementara kelompok </w:t>
      </w:r>
      <w:r w:rsidDel="00000000" w:rsidR="00000000" w:rsidRPr="00000000">
        <w:rPr>
          <w:i w:val="1"/>
          <w:iCs w:val="1"/>
          <w:rtl w:val="0"/>
        </w:rPr>
        <w:t xml:space="preserve">controlled safety motivation</w:t>
      </w:r>
      <w:r w:rsidDel="00000000" w:rsidR="00000000" w:rsidRPr="00000000">
        <w:rPr>
          <w:rtl w:val="0"/>
        </w:rPr>
        <w:t xml:space="preserve"> (eksternal dan introjeksi) hanya berpengaruh pada aspek partisipasi keselamatan, bukan pada kepatuhan keselamatan secara keseluruhan. Pola ini juga relevan dengan temuan </w:t>
      </w:r>
      <w:r w:rsidDel="00000000" w:rsidR="00000000" w:rsidRPr="00000000">
        <w:rPr>
          <w:color w:val="000000"/>
          <w:rtl w:val="0"/>
        </w:rPr>
        <w:t xml:space="preserve">(Lim et al., 2018)</w:t>
      </w:r>
      <w:r w:rsidDel="00000000" w:rsidR="00000000" w:rsidRPr="00000000">
        <w:rPr>
          <w:rtl w:val="0"/>
        </w:rPr>
        <w:t xml:space="preserve"> yang melaporkan bahwa peran motivasi eksternal terhadap kepatuhan maupun partisipasi keselamatan cenderung lebih lemah dan tidak konsisten dibandingkan motivasi yang lebih terinternalisasi, baik pada konteks pekerja Malaysia maupun Tiongkok.</w:t>
      </w:r>
    </w:p>
    <w:p w:rsidR="00000000" w:rsidDel="00000000" w:rsidP="00000000" w:rsidRDefault="00000000" w:rsidRPr="00000000" w14:paraId="000000B7">
      <w:pPr>
        <w:spacing w:after="120" w:lineRule="auto"/>
        <w:ind w:firstLine="360"/>
        <w:jc w:val="both"/>
        <w:rPr/>
      </w:pPr>
      <w:r w:rsidDel="00000000" w:rsidR="00000000" w:rsidRPr="00000000">
        <w:rPr>
          <w:rtl w:val="0"/>
        </w:rPr>
        <w:t xml:space="preserve">Implikasinya bagi manajemen perusahaan, keberadaan program SRP perlu dipandang sebagai langkah awal yang baik untuk membentuk kebiasaan aman, namun belum cukup untuk menjamin konsistensi perilaku aman dalam jangka panjang apabila tidak diiringi strategi penguatan motivasi yang lebih terinternalisasi. Manajemen dapat mempertimbangkan untuk memperkuat aspek penghargaan sosial dan rasa kepemilikan kru terhadap keselamatan, misalnya melalui pengakuan personal yang lebih bermakna dan keterlibatan kru dalam perumusan target keselamatan, bukan hanya mengandalkan penghargaan sebagai satu-satunya pendorong perilaku aman. Sebagaimana menurut </w:t>
      </w:r>
      <w:r w:rsidDel="00000000" w:rsidR="00000000" w:rsidRPr="00000000">
        <w:rPr>
          <w:color w:val="000000"/>
          <w:rtl w:val="0"/>
        </w:rPr>
        <w:t xml:space="preserve">Jung et al. (2020) dan Liu et al. (2025)</w:t>
      </w:r>
      <w:r w:rsidDel="00000000" w:rsidR="00000000" w:rsidRPr="00000000">
        <w:rPr>
          <w:rtl w:val="0"/>
        </w:rPr>
        <w:t xml:space="preserve">, kehadiran program </w:t>
      </w:r>
      <w:r w:rsidDel="00000000" w:rsidR="00000000" w:rsidRPr="00000000">
        <w:rPr>
          <w:i w:val="1"/>
          <w:iCs w:val="1"/>
          <w:rtl w:val="0"/>
        </w:rPr>
        <w:t xml:space="preserve">safety rewards and punishments </w:t>
      </w:r>
      <w:r w:rsidDel="00000000" w:rsidR="00000000" w:rsidRPr="00000000">
        <w:rPr>
          <w:rtl w:val="0"/>
        </w:rPr>
        <w:t xml:space="preserve">dapat mendorong peningkatan perilaku kerja aman yang lebih baik, namun di sisi lain implementasi yang tidak dirancang dengan baik justru berisiko memicu </w:t>
      </w:r>
      <w:r w:rsidDel="00000000" w:rsidR="00000000" w:rsidRPr="00000000">
        <w:rPr>
          <w:color w:val="000000"/>
          <w:rtl w:val="0"/>
        </w:rPr>
        <w:t xml:space="preserve">ketidakadilan, </w:t>
      </w:r>
      <w:r w:rsidDel="00000000" w:rsidR="00000000" w:rsidRPr="00000000">
        <w:rPr>
          <w:i w:val="1"/>
          <w:iCs w:val="1"/>
          <w:color w:val="000000"/>
          <w:rtl w:val="0"/>
        </w:rPr>
        <w:t xml:space="preserve">blame culture</w:t>
      </w:r>
      <w:r w:rsidDel="00000000" w:rsidR="00000000" w:rsidRPr="00000000">
        <w:rPr>
          <w:color w:val="000000"/>
          <w:rtl w:val="0"/>
        </w:rPr>
        <w:t xml:space="preserve">, hingga </w:t>
      </w:r>
      <w:r w:rsidDel="00000000" w:rsidR="00000000" w:rsidRPr="00000000">
        <w:rPr>
          <w:i w:val="1"/>
          <w:iCs w:val="1"/>
          <w:color w:val="000000"/>
          <w:rtl w:val="0"/>
        </w:rPr>
        <w:t xml:space="preserve">under-reporting</w:t>
      </w:r>
      <w:r w:rsidDel="00000000" w:rsidR="00000000" w:rsidRPr="00000000">
        <w:rPr>
          <w:color w:val="000000"/>
          <w:rtl w:val="0"/>
        </w:rPr>
        <w:t xml:space="preserve"> (David Oswald et al., 2019; Xue et al., 2020).</w:t>
      </w:r>
      <w:r w:rsidDel="00000000" w:rsidR="00000000" w:rsidRPr="00000000">
        <w:rPr>
          <w:rtl w:val="0"/>
        </w:rPr>
        <w:t xml:space="preserve"> Dengan demikian, evaluasi berkelanjutan terhadap desain SRP tetap diperlukan untuk memastikan bahwa lonjakan pelaporan TTA/KTA yang terjadi pasca-penerapan program benar-benar mencerminkan peningkatan kesadaran keselamatan, bukan semata-mata didorong oleh insentif poin jangka pendek. </w:t>
      </w:r>
    </w:p>
    <w:p w:rsidR="00000000" w:rsidDel="00000000" w:rsidP="00000000" w:rsidRDefault="00000000" w:rsidRPr="00000000" w14:paraId="000000B8">
      <w:pPr>
        <w:spacing w:after="240" w:before="240" w:lineRule="auto"/>
        <w:rPr/>
      </w:pPr>
      <w:r w:rsidDel="00000000" w:rsidR="00000000" w:rsidRPr="00000000">
        <w:rPr>
          <w:b w:val="1"/>
          <w:bCs w:val="1"/>
          <w:rtl w:val="0"/>
        </w:rPr>
        <w:t xml:space="preserve">KESIMPULAN </w:t>
      </w: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Berdasarkan analisis deskriptif terhadap profil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Motivation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kru kapal di PT XYZ, dimensi motivasi otonom—yakni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Identified Safety Motivation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Intrinsic Safety Motivation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—tercatat sebagai dimensi dengan skor tertinggi dan paling konsisten. Sebaliknya, dimensi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External Safety Motivation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justru menunjukkan tingkat yang paling rendah dengan sebaran variasi yang paling lebar antar individu. Pola ini memiliki relevansi yang kuat dalam menjelaskan fenomena kesenjangan pelaporan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hazard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 tengah implementasi program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rewards and punishments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(SRP). Program SRP, yang secara konseptual bertumpu pada kontrol eksternal, memicu terbentuknya perilaku yang kondisional; kru kapal terdorong untuk memperbanyak laporan Kondisi Tidak Aman (KTA) demi mengejar insentif poin, namun secara bersamaan menghindari pelaporan Tindakan Tidak Aman (TTA) akibat adanya kekhawatiran terhadap sanksi.</w:t>
      </w:r>
    </w:p>
    <w:p w:rsidR="00000000" w:rsidDel="00000000" w:rsidP="00000000" w:rsidRDefault="00000000" w:rsidRPr="00000000" w14:paraId="000000B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40" w:before="0" w:line="240" w:lineRule="auto"/>
        <w:ind w:left="720" w:right="4"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Sebagai rekomendasi manajerial, perusahaan perlu memandang program SRP sebagai instrumen pendorong awal yang efektif untuk menstimulasi kuantitas partisipasi, namun belum cukup komprehensif untuk menjamin konsistensi perilaku aman dalam jangka panjang. Untuk mengurai stagnasi pelaporan TTA dan mencegah menguatnya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blame culture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(budaya saling menyalahkan) akibat bias pengejaran poin, manajemen direkomendasikan untuk mulai menggeser fokus strategi Keselamatan dan Kesehatan Kerja (K3) dari yang awalnya sekadar transaksional (hukuman dan hadiah) menuju penguatan motivasi intrinsik pekerja. Upaya ini dapat direalisasikan melalui penciptaan sistem pelaporan yang transparan dan bebas dari sanksi untuk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human error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tidak disengaja, pemberian apresiasi sosial yang lebih bermakna, serta pelibatan aktif kru kapal dalam perumusan target keselamatan. Melalui pendekatan tersebut, kepatuhan keselamatan diharapkan tidak lagi bergantung pada ada atau tidaknya insentif, melainkan tumbuh sebagai kesadaran otonom dari dalam diri kru kapal.</w:t>
      </w:r>
    </w:p>
    <w:p w:rsidR="00000000" w:rsidDel="00000000" w:rsidP="00000000" w:rsidRDefault="00000000" w:rsidRPr="00000000" w14:paraId="000000BB">
      <w:pPr>
        <w:tabs>
          <w:tab w:val="left" w:leader="none" w:pos="9720"/>
        </w:tabs>
        <w:spacing w:after="240" w:before="118" w:lineRule="auto"/>
        <w:ind w:right="4"/>
        <w:jc w:val="both"/>
        <w:rPr/>
      </w:pPr>
      <w:r w:rsidDel="00000000" w:rsidR="00000000" w:rsidRPr="00000000">
        <w:rPr>
          <w:b w:val="1"/>
          <w:bCs w:val="1"/>
          <w:rtl w:val="0"/>
        </w:rPr>
        <w:t xml:space="preserve">DAFTAR PUSTAKA </w:t>
      </w:r>
      <w:r w:rsidDel="00000000" w:rsidR="00000000" w:rsidRPr="00000000">
        <w:rPr>
          <w:rtl w:val="0"/>
        </w:rPr>
      </w:r>
    </w:p>
    <w:p w:rsidR="00000000" w:rsidDel="00000000" w:rsidP="00000000" w:rsidRDefault="00000000" w:rsidRPr="00000000" w14:paraId="000000BC">
      <w:pPr>
        <w:ind w:hanging="480"/>
        <w:jc w:val="both"/>
        <w:rPr>
          <w:color w:val="000000"/>
        </w:rPr>
      </w:pPr>
      <w:r w:rsidDel="00000000" w:rsidR="00000000" w:rsidRPr="00000000">
        <w:rPr>
          <w:color w:val="000000"/>
          <w:rtl w:val="0"/>
        </w:rPr>
        <w:t xml:space="preserve">Al Haadir, S., Panuwatwanich, K., &amp; Stewart, R. (2013). Empirical Analysis of the Impacts of Safety Motivation and Safety Climate on Safety Behaviour. </w:t>
      </w:r>
      <w:r w:rsidDel="00000000" w:rsidR="00000000" w:rsidRPr="00000000">
        <w:rPr>
          <w:i w:val="1"/>
          <w:iCs w:val="1"/>
          <w:color w:val="000000"/>
          <w:rtl w:val="0"/>
        </w:rPr>
        <w:t xml:space="preserve">Proceedings of the 19th CIB World Building Congress: Construction and Society</w:t>
      </w:r>
      <w:r w:rsidDel="00000000" w:rsidR="00000000" w:rsidRPr="00000000">
        <w:rPr>
          <w:color w:val="000000"/>
          <w:rtl w:val="0"/>
        </w:rPr>
        <w:t xml:space="preserve">. https://research-repository.griffith.edu.au/bitstreams/af92680e-115d-5bbf-8ebc-e8aa165a0d43/download</w:t>
      </w:r>
    </w:p>
    <w:p w:rsidR="00000000" w:rsidDel="00000000" w:rsidP="00000000" w:rsidRDefault="00000000" w:rsidRPr="00000000" w14:paraId="000000BD">
      <w:pPr>
        <w:ind w:hanging="480"/>
        <w:jc w:val="both"/>
        <w:rPr>
          <w:color w:val="000000"/>
        </w:rPr>
      </w:pPr>
      <w:r w:rsidDel="00000000" w:rsidR="00000000" w:rsidRPr="00000000">
        <w:rPr>
          <w:color w:val="000000"/>
          <w:rtl w:val="0"/>
        </w:rPr>
        <w:t xml:space="preserve">Bayram, M., Arpat, B., &amp; Ozkan, Y. (2022). Safety priority, safety rules, safety participation and safety behaviour: the mediating role of safety training. </w:t>
      </w:r>
      <w:r w:rsidDel="00000000" w:rsidR="00000000" w:rsidRPr="00000000">
        <w:rPr>
          <w:i w:val="1"/>
          <w:iCs w:val="1"/>
          <w:color w:val="000000"/>
          <w:rtl w:val="0"/>
        </w:rPr>
        <w:t xml:space="preserve">International Journal of Occupational Safety and Ergonomics</w:t>
      </w:r>
      <w:r w:rsidDel="00000000" w:rsidR="00000000" w:rsidRPr="00000000">
        <w:rPr>
          <w:color w:val="000000"/>
          <w:rtl w:val="0"/>
        </w:rPr>
        <w:t xml:space="preserve">, </w:t>
      </w:r>
      <w:r w:rsidDel="00000000" w:rsidR="00000000" w:rsidRPr="00000000">
        <w:rPr>
          <w:i w:val="1"/>
          <w:iCs w:val="1"/>
          <w:color w:val="000000"/>
          <w:rtl w:val="0"/>
        </w:rPr>
        <w:t xml:space="preserve">28</w:t>
      </w:r>
      <w:r w:rsidDel="00000000" w:rsidR="00000000" w:rsidRPr="00000000">
        <w:rPr>
          <w:color w:val="000000"/>
          <w:rtl w:val="0"/>
        </w:rPr>
        <w:t xml:space="preserve">(4), 2138–2148. https://doi.org/10.1080/10803548.2021.1959131</w:t>
      </w:r>
    </w:p>
    <w:p w:rsidR="00000000" w:rsidDel="00000000" w:rsidP="00000000" w:rsidRDefault="00000000" w:rsidRPr="00000000" w14:paraId="000000BE">
      <w:pPr>
        <w:ind w:hanging="480"/>
        <w:jc w:val="both"/>
        <w:rPr>
          <w:color w:val="000000"/>
        </w:rPr>
      </w:pPr>
      <w:r w:rsidDel="00000000" w:rsidR="00000000" w:rsidRPr="00000000">
        <w:rPr>
          <w:color w:val="000000"/>
          <w:rtl w:val="0"/>
        </w:rPr>
        <w:t xml:space="preserve">Chen, P., Huang, Y., Mou, J., &amp; van Gelder, P. H. A. J. M. (2019). Probabilistic risk analysis for ship-ship collision: State-of-the-art. </w:t>
      </w:r>
      <w:r w:rsidDel="00000000" w:rsidR="00000000" w:rsidRPr="00000000">
        <w:rPr>
          <w:i w:val="1"/>
          <w:iCs w:val="1"/>
          <w:color w:val="000000"/>
          <w:rtl w:val="0"/>
        </w:rPr>
        <w:t xml:space="preserve">Safety Science</w:t>
      </w:r>
      <w:r w:rsidDel="00000000" w:rsidR="00000000" w:rsidRPr="00000000">
        <w:rPr>
          <w:color w:val="000000"/>
          <w:rtl w:val="0"/>
        </w:rPr>
        <w:t xml:space="preserve">, </w:t>
      </w:r>
      <w:r w:rsidDel="00000000" w:rsidR="00000000" w:rsidRPr="00000000">
        <w:rPr>
          <w:i w:val="1"/>
          <w:iCs w:val="1"/>
          <w:color w:val="000000"/>
          <w:rtl w:val="0"/>
        </w:rPr>
        <w:t xml:space="preserve">117</w:t>
      </w:r>
      <w:r w:rsidDel="00000000" w:rsidR="00000000" w:rsidRPr="00000000">
        <w:rPr>
          <w:color w:val="000000"/>
          <w:rtl w:val="0"/>
        </w:rPr>
        <w:t xml:space="preserve">, 108–122. https://doi.org/10.1016/J.SSCI.2019.04.014</w:t>
      </w:r>
    </w:p>
    <w:p w:rsidR="00000000" w:rsidDel="00000000" w:rsidP="00000000" w:rsidRDefault="00000000" w:rsidRPr="00000000" w14:paraId="000000BF">
      <w:pPr>
        <w:ind w:hanging="480"/>
        <w:jc w:val="both"/>
        <w:rPr>
          <w:color w:val="000000"/>
        </w:rPr>
      </w:pPr>
      <w:r w:rsidDel="00000000" w:rsidR="00000000" w:rsidRPr="00000000">
        <w:rPr>
          <w:color w:val="000000"/>
          <w:rtl w:val="0"/>
        </w:rPr>
        <w:t xml:space="preserve">David Oswald, Fred Sherratt, &amp; Simon D. Smith. (2019). SAFETY REWARDS: How They Can Help &amp; Hinder How They Can Help &amp; Hinder. </w:t>
      </w:r>
      <w:r w:rsidDel="00000000" w:rsidR="00000000" w:rsidRPr="00000000">
        <w:rPr>
          <w:i w:val="1"/>
          <w:iCs w:val="1"/>
          <w:color w:val="000000"/>
          <w:rtl w:val="0"/>
        </w:rPr>
        <w:t xml:space="preserve">Professional Safety</w:t>
      </w:r>
      <w:r w:rsidDel="00000000" w:rsidR="00000000" w:rsidRPr="00000000">
        <w:rPr>
          <w:color w:val="000000"/>
          <w:rtl w:val="0"/>
        </w:rPr>
        <w:t xml:space="preserve">, </w:t>
      </w:r>
      <w:r w:rsidDel="00000000" w:rsidR="00000000" w:rsidRPr="00000000">
        <w:rPr>
          <w:i w:val="1"/>
          <w:iCs w:val="1"/>
          <w:color w:val="000000"/>
          <w:rtl w:val="0"/>
        </w:rPr>
        <w:t xml:space="preserve">64</w:t>
      </w:r>
      <w:r w:rsidDel="00000000" w:rsidR="00000000" w:rsidRPr="00000000">
        <w:rPr>
          <w:color w:val="000000"/>
          <w:rtl w:val="0"/>
        </w:rPr>
        <w:t xml:space="preserve">(7), 27–31. https://www.jstor.org/stable/48689880</w:t>
      </w:r>
    </w:p>
    <w:p w:rsidR="00000000" w:rsidDel="00000000" w:rsidP="00000000" w:rsidRDefault="00000000" w:rsidRPr="00000000" w14:paraId="000000C0">
      <w:pPr>
        <w:ind w:hanging="480"/>
        <w:jc w:val="both"/>
        <w:rPr>
          <w:color w:val="000000"/>
        </w:rPr>
      </w:pPr>
      <w:r w:rsidDel="00000000" w:rsidR="00000000" w:rsidRPr="00000000">
        <w:rPr>
          <w:color w:val="000000"/>
          <w:rtl w:val="0"/>
        </w:rPr>
        <w:t xml:space="preserve">DeJoy, D. M. (2005). Behavior change versus culture change: Divergent approaches to managing workplace safety. </w:t>
      </w:r>
      <w:r w:rsidDel="00000000" w:rsidR="00000000" w:rsidRPr="00000000">
        <w:rPr>
          <w:i w:val="1"/>
          <w:iCs w:val="1"/>
          <w:color w:val="000000"/>
          <w:rtl w:val="0"/>
        </w:rPr>
        <w:t xml:space="preserve">Safety Science</w:t>
      </w:r>
      <w:r w:rsidDel="00000000" w:rsidR="00000000" w:rsidRPr="00000000">
        <w:rPr>
          <w:color w:val="000000"/>
          <w:rtl w:val="0"/>
        </w:rPr>
        <w:t xml:space="preserve">, </w:t>
      </w:r>
      <w:r w:rsidDel="00000000" w:rsidR="00000000" w:rsidRPr="00000000">
        <w:rPr>
          <w:i w:val="1"/>
          <w:iCs w:val="1"/>
          <w:color w:val="000000"/>
          <w:rtl w:val="0"/>
        </w:rPr>
        <w:t xml:space="preserve">43</w:t>
      </w:r>
      <w:r w:rsidDel="00000000" w:rsidR="00000000" w:rsidRPr="00000000">
        <w:rPr>
          <w:color w:val="000000"/>
          <w:rtl w:val="0"/>
        </w:rPr>
        <w:t xml:space="preserve">(2), 105–129. https://doi.org/10.1016/J.SSCI.2005.02.001</w:t>
      </w:r>
    </w:p>
    <w:p w:rsidR="00000000" w:rsidDel="00000000" w:rsidP="00000000" w:rsidRDefault="00000000" w:rsidRPr="00000000" w14:paraId="000000C1">
      <w:pPr>
        <w:ind w:hanging="480"/>
        <w:jc w:val="both"/>
        <w:rPr>
          <w:color w:val="000000"/>
        </w:rPr>
      </w:pPr>
      <w:r w:rsidDel="00000000" w:rsidR="00000000" w:rsidRPr="00000000">
        <w:rPr>
          <w:color w:val="000000"/>
          <w:rtl w:val="0"/>
        </w:rPr>
        <w:t xml:space="preserve">Fang, W., Love, P. E. D., Luo, H., &amp; Ding, L. (2020). Computer vision for behaviour-based safety in construction: A review and future directions. </w:t>
      </w:r>
      <w:r w:rsidDel="00000000" w:rsidR="00000000" w:rsidRPr="00000000">
        <w:rPr>
          <w:i w:val="1"/>
          <w:iCs w:val="1"/>
          <w:color w:val="000000"/>
          <w:rtl w:val="0"/>
        </w:rPr>
        <w:t xml:space="preserve">Advanced Engineering Informatics</w:t>
      </w:r>
      <w:r w:rsidDel="00000000" w:rsidR="00000000" w:rsidRPr="00000000">
        <w:rPr>
          <w:color w:val="000000"/>
          <w:rtl w:val="0"/>
        </w:rPr>
        <w:t xml:space="preserve">, </w:t>
      </w:r>
      <w:r w:rsidDel="00000000" w:rsidR="00000000" w:rsidRPr="00000000">
        <w:rPr>
          <w:i w:val="1"/>
          <w:iCs w:val="1"/>
          <w:color w:val="000000"/>
          <w:rtl w:val="0"/>
        </w:rPr>
        <w:t xml:space="preserve">43</w:t>
      </w:r>
      <w:r w:rsidDel="00000000" w:rsidR="00000000" w:rsidRPr="00000000">
        <w:rPr>
          <w:color w:val="000000"/>
          <w:rtl w:val="0"/>
        </w:rPr>
        <w:t xml:space="preserve">. https://doi.org/10.1016/J.AEI.2019.100980</w:t>
      </w:r>
    </w:p>
    <w:p w:rsidR="00000000" w:rsidDel="00000000" w:rsidP="00000000" w:rsidRDefault="00000000" w:rsidRPr="00000000" w14:paraId="000000C2">
      <w:pPr>
        <w:ind w:hanging="480"/>
        <w:jc w:val="both"/>
        <w:rPr>
          <w:color w:val="000000"/>
        </w:rPr>
      </w:pPr>
      <w:r w:rsidDel="00000000" w:rsidR="00000000" w:rsidRPr="00000000">
        <w:rPr>
          <w:color w:val="000000"/>
          <w:rtl w:val="0"/>
        </w:rPr>
        <w:t xml:space="preserve">Fleming, M. (2012). </w:t>
      </w:r>
      <w:r w:rsidDel="00000000" w:rsidR="00000000" w:rsidRPr="00000000">
        <w:rPr>
          <w:i w:val="1"/>
          <w:iCs w:val="1"/>
          <w:color w:val="000000"/>
          <w:rtl w:val="0"/>
        </w:rPr>
        <w:t xml:space="preserve">Assessing Employee Safety Motivation | WorkSafeBC</w:t>
      </w:r>
      <w:r w:rsidDel="00000000" w:rsidR="00000000" w:rsidRPr="00000000">
        <w:rPr>
          <w:color w:val="000000"/>
          <w:rtl w:val="0"/>
        </w:rPr>
        <w:t xml:space="preserve">. WorkSafeBC. https://www.worksafebc.com/en/resources/about-us/research/assessing-employee-safety-motivation?lang=en</w:t>
      </w:r>
    </w:p>
    <w:p w:rsidR="00000000" w:rsidDel="00000000" w:rsidP="00000000" w:rsidRDefault="00000000" w:rsidRPr="00000000" w14:paraId="000000C3">
      <w:pPr>
        <w:ind w:hanging="480"/>
        <w:jc w:val="both"/>
        <w:rPr>
          <w:color w:val="000000"/>
        </w:rPr>
      </w:pPr>
      <w:r w:rsidDel="00000000" w:rsidR="00000000" w:rsidRPr="00000000">
        <w:rPr>
          <w:color w:val="000000"/>
          <w:rtl w:val="0"/>
        </w:rPr>
        <w:t xml:space="preserve">Geller, E. S. (2005). Behavior-Based Safety and Occupational Risk Management. </w:t>
      </w:r>
      <w:r w:rsidDel="00000000" w:rsidR="00000000" w:rsidRPr="00000000">
        <w:rPr>
          <w:i w:val="1"/>
          <w:iCs w:val="1"/>
          <w:color w:val="000000"/>
          <w:rtl w:val="0"/>
        </w:rPr>
        <w:t xml:space="preserve">Behavior Modification</w:t>
      </w:r>
      <w:r w:rsidDel="00000000" w:rsidR="00000000" w:rsidRPr="00000000">
        <w:rPr>
          <w:color w:val="000000"/>
          <w:rtl w:val="0"/>
        </w:rPr>
        <w:t xml:space="preserve">, </w:t>
      </w:r>
      <w:r w:rsidDel="00000000" w:rsidR="00000000" w:rsidRPr="00000000">
        <w:rPr>
          <w:i w:val="1"/>
          <w:iCs w:val="1"/>
          <w:color w:val="000000"/>
          <w:rtl w:val="0"/>
        </w:rPr>
        <w:t xml:space="preserve">29</w:t>
      </w:r>
      <w:r w:rsidDel="00000000" w:rsidR="00000000" w:rsidRPr="00000000">
        <w:rPr>
          <w:color w:val="000000"/>
          <w:rtl w:val="0"/>
        </w:rPr>
        <w:t xml:space="preserve">(3), 539–561. https://doi.org/10.1177/0145445504273287</w:t>
      </w:r>
    </w:p>
    <w:p w:rsidR="00000000" w:rsidDel="00000000" w:rsidP="00000000" w:rsidRDefault="00000000" w:rsidRPr="00000000" w14:paraId="000000C4">
      <w:pPr>
        <w:ind w:hanging="480"/>
        <w:jc w:val="both"/>
        <w:rPr>
          <w:color w:val="000000"/>
        </w:rPr>
      </w:pPr>
      <w:r w:rsidDel="00000000" w:rsidR="00000000" w:rsidRPr="00000000">
        <w:rPr>
          <w:color w:val="000000"/>
          <w:rtl w:val="0"/>
        </w:rPr>
        <w:t xml:space="preserve">Hair, J. F., Hult, G. T. M., Ringle, C. M., &amp; Sarstedt, M. (2021). A Primer on Partial Least Squares Structural Equation Modeling (PLS-SEM). In </w:t>
      </w:r>
      <w:r w:rsidDel="00000000" w:rsidR="00000000" w:rsidRPr="00000000">
        <w:rPr>
          <w:i w:val="1"/>
          <w:iCs w:val="1"/>
          <w:color w:val="000000"/>
          <w:rtl w:val="0"/>
        </w:rPr>
        <w:t xml:space="preserve">SAGE Publication</w:t>
      </w:r>
      <w:r w:rsidDel="00000000" w:rsidR="00000000" w:rsidRPr="00000000">
        <w:rPr>
          <w:color w:val="000000"/>
          <w:rtl w:val="0"/>
        </w:rPr>
        <w:t xml:space="preserve"> (3rd Edition). SAGE Publication, Inc. https://uk.sagepub.com/en-gb/eur/a-primer-on-partial-least-squares-structural-equation-modeling-pls-sem/book270548</w:t>
      </w:r>
    </w:p>
    <w:p w:rsidR="00000000" w:rsidDel="00000000" w:rsidP="00000000" w:rsidRDefault="00000000" w:rsidRPr="00000000" w14:paraId="000000C5">
      <w:pPr>
        <w:ind w:hanging="480"/>
        <w:jc w:val="both"/>
        <w:rPr>
          <w:color w:val="000000"/>
        </w:rPr>
      </w:pPr>
      <w:r w:rsidDel="00000000" w:rsidR="00000000" w:rsidRPr="00000000">
        <w:rPr>
          <w:color w:val="000000"/>
          <w:rtl w:val="0"/>
        </w:rPr>
        <w:t xml:space="preserve">ICS. (2020). </w:t>
      </w:r>
      <w:r w:rsidDel="00000000" w:rsidR="00000000" w:rsidRPr="00000000">
        <w:rPr>
          <w:i w:val="1"/>
          <w:iCs w:val="1"/>
          <w:color w:val="000000"/>
          <w:rtl w:val="0"/>
        </w:rPr>
        <w:t xml:space="preserve">Annual Review 2020</w:t>
      </w:r>
      <w:r w:rsidDel="00000000" w:rsidR="00000000" w:rsidRPr="00000000">
        <w:rPr>
          <w:color w:val="000000"/>
          <w:rtl w:val="0"/>
        </w:rPr>
        <w:t xml:space="preserve">.</w:t>
      </w:r>
    </w:p>
    <w:p w:rsidR="00000000" w:rsidDel="00000000" w:rsidP="00000000" w:rsidRDefault="00000000" w:rsidRPr="00000000" w14:paraId="000000C6">
      <w:pPr>
        <w:ind w:hanging="480"/>
        <w:jc w:val="both"/>
        <w:rPr>
          <w:color w:val="000000"/>
        </w:rPr>
      </w:pPr>
      <w:r w:rsidDel="00000000" w:rsidR="00000000" w:rsidRPr="00000000">
        <w:rPr>
          <w:color w:val="000000"/>
          <w:rtl w:val="0"/>
        </w:rPr>
        <w:t xml:space="preserve">INSA. (2024). </w:t>
      </w:r>
      <w:r w:rsidDel="00000000" w:rsidR="00000000" w:rsidRPr="00000000">
        <w:rPr>
          <w:i w:val="1"/>
          <w:iCs w:val="1"/>
          <w:color w:val="000000"/>
          <w:rtl w:val="0"/>
        </w:rPr>
        <w:t xml:space="preserve">Peta Jalan Industri Pelayaran 2024-2029: Pemberdayaan Industri Pelayaran Indonesia</w:t>
      </w:r>
      <w:r w:rsidDel="00000000" w:rsidR="00000000" w:rsidRPr="00000000">
        <w:rPr>
          <w:color w:val="000000"/>
          <w:rtl w:val="0"/>
        </w:rPr>
        <w:t xml:space="preserve">. https://asset.tenggara.id/assets/source/file-research/2024-insa/Peta%20Jalan%20Industri%20Pelayaran%202024-2029.pdf</w:t>
      </w:r>
    </w:p>
    <w:p w:rsidR="00000000" w:rsidDel="00000000" w:rsidP="00000000" w:rsidRDefault="00000000" w:rsidRPr="00000000" w14:paraId="000000C7">
      <w:pPr>
        <w:ind w:hanging="480"/>
        <w:jc w:val="both"/>
        <w:rPr>
          <w:color w:val="000000"/>
        </w:rPr>
      </w:pPr>
      <w:r w:rsidDel="00000000" w:rsidR="00000000" w:rsidRPr="00000000">
        <w:rPr>
          <w:color w:val="000000"/>
          <w:rtl w:val="0"/>
        </w:rPr>
        <w:t xml:space="preserve">International Maritime Organization (IMO). (2003). Human element vision, principles and goals for the organization. In </w:t>
      </w:r>
      <w:r w:rsidDel="00000000" w:rsidR="00000000" w:rsidRPr="00000000">
        <w:rPr>
          <w:i w:val="1"/>
          <w:iCs w:val="1"/>
          <w:color w:val="000000"/>
          <w:rtl w:val="0"/>
        </w:rPr>
        <w:t xml:space="preserve">International Maritime Organization</w:t>
      </w:r>
      <w:r w:rsidDel="00000000" w:rsidR="00000000" w:rsidRPr="00000000">
        <w:rPr>
          <w:color w:val="000000"/>
          <w:rtl w:val="0"/>
        </w:rPr>
        <w:t xml:space="preserve"> (Resolution A.947(23)). International Maritime Organization.</w:t>
      </w:r>
    </w:p>
    <w:p w:rsidR="00000000" w:rsidDel="00000000" w:rsidP="00000000" w:rsidRDefault="00000000" w:rsidRPr="00000000" w14:paraId="000000C8">
      <w:pPr>
        <w:ind w:hanging="480"/>
        <w:jc w:val="both"/>
        <w:rPr>
          <w:color w:val="000000"/>
        </w:rPr>
      </w:pPr>
      <w:r w:rsidDel="00000000" w:rsidR="00000000" w:rsidRPr="00000000">
        <w:rPr>
          <w:color w:val="000000"/>
          <w:rtl w:val="0"/>
        </w:rPr>
        <w:t xml:space="preserve">Jung, M., Lim, S., &amp; Chi, S. (2020). Impact of Work Environment and Occupational Stress on Safety Behavior of Individual Construction Workers. </w:t>
      </w:r>
      <w:r w:rsidDel="00000000" w:rsidR="00000000" w:rsidRPr="00000000">
        <w:rPr>
          <w:i w:val="1"/>
          <w:iCs w:val="1"/>
          <w:color w:val="000000"/>
          <w:rtl w:val="0"/>
        </w:rPr>
        <w:t xml:space="preserve">International Journal of Environmental Research and Public Health 2020, Vol. 17, Page 8304</w:t>
      </w:r>
      <w:r w:rsidDel="00000000" w:rsidR="00000000" w:rsidRPr="00000000">
        <w:rPr>
          <w:color w:val="000000"/>
          <w:rtl w:val="0"/>
        </w:rPr>
        <w:t xml:space="preserve">, </w:t>
      </w:r>
      <w:r w:rsidDel="00000000" w:rsidR="00000000" w:rsidRPr="00000000">
        <w:rPr>
          <w:i w:val="1"/>
          <w:iCs w:val="1"/>
          <w:color w:val="000000"/>
          <w:rtl w:val="0"/>
        </w:rPr>
        <w:t xml:space="preserve">17</w:t>
      </w:r>
      <w:r w:rsidDel="00000000" w:rsidR="00000000" w:rsidRPr="00000000">
        <w:rPr>
          <w:color w:val="000000"/>
          <w:rtl w:val="0"/>
        </w:rPr>
        <w:t xml:space="preserve">(22), 8304. https://doi.org/10.3390/IJERPH17228304</w:t>
      </w:r>
    </w:p>
    <w:p w:rsidR="00000000" w:rsidDel="00000000" w:rsidP="00000000" w:rsidRDefault="00000000" w:rsidRPr="00000000" w14:paraId="000000C9">
      <w:pPr>
        <w:ind w:hanging="480"/>
        <w:jc w:val="both"/>
        <w:rPr>
          <w:color w:val="000000"/>
        </w:rPr>
      </w:pPr>
      <w:r w:rsidDel="00000000" w:rsidR="00000000" w:rsidRPr="00000000">
        <w:rPr>
          <w:color w:val="000000"/>
          <w:rtl w:val="0"/>
        </w:rPr>
        <w:t xml:space="preserve">KNKT. (2025). </w:t>
      </w:r>
      <w:r w:rsidDel="00000000" w:rsidR="00000000" w:rsidRPr="00000000">
        <w:rPr>
          <w:i w:val="1"/>
          <w:iCs w:val="1"/>
          <w:color w:val="000000"/>
          <w:rtl w:val="0"/>
        </w:rPr>
        <w:t xml:space="preserve">KNKT - Statistik</w:t>
      </w:r>
      <w:r w:rsidDel="00000000" w:rsidR="00000000" w:rsidRPr="00000000">
        <w:rPr>
          <w:color w:val="000000"/>
          <w:rtl w:val="0"/>
        </w:rPr>
        <w:t xml:space="preserve">. https://knkt.go.id/statistik</w:t>
      </w:r>
    </w:p>
    <w:p w:rsidR="00000000" w:rsidDel="00000000" w:rsidP="00000000" w:rsidRDefault="00000000" w:rsidRPr="00000000" w14:paraId="000000CA">
      <w:pPr>
        <w:ind w:hanging="480"/>
        <w:jc w:val="both"/>
        <w:rPr>
          <w:color w:val="000000"/>
        </w:rPr>
      </w:pPr>
      <w:r w:rsidDel="00000000" w:rsidR="00000000" w:rsidRPr="00000000">
        <w:rPr>
          <w:color w:val="000000"/>
          <w:rtl w:val="0"/>
        </w:rPr>
        <w:t xml:space="preserve">Laurent, J., Chmiel, N., &amp; Hansez, I. (2020). Personality and safety citizenship: the role of safety motivation and safety knowledge. </w:t>
      </w:r>
      <w:r w:rsidDel="00000000" w:rsidR="00000000" w:rsidRPr="00000000">
        <w:rPr>
          <w:i w:val="1"/>
          <w:iCs w:val="1"/>
          <w:color w:val="000000"/>
          <w:rtl w:val="0"/>
        </w:rPr>
        <w:t xml:space="preserve">Heliyon</w:t>
      </w:r>
      <w:r w:rsidDel="00000000" w:rsidR="00000000" w:rsidRPr="00000000">
        <w:rPr>
          <w:color w:val="000000"/>
          <w:rtl w:val="0"/>
        </w:rPr>
        <w:t xml:space="preserve">, </w:t>
      </w:r>
      <w:r w:rsidDel="00000000" w:rsidR="00000000" w:rsidRPr="00000000">
        <w:rPr>
          <w:i w:val="1"/>
          <w:iCs w:val="1"/>
          <w:color w:val="000000"/>
          <w:rtl w:val="0"/>
        </w:rPr>
        <w:t xml:space="preserve">6</w:t>
      </w:r>
      <w:r w:rsidDel="00000000" w:rsidR="00000000" w:rsidRPr="00000000">
        <w:rPr>
          <w:color w:val="000000"/>
          <w:rtl w:val="0"/>
        </w:rPr>
        <w:t xml:space="preserve">(1), e03201. https://doi.org/10.1016/J.HELIYON.2020.E03201</w:t>
      </w:r>
    </w:p>
    <w:p w:rsidR="00000000" w:rsidDel="00000000" w:rsidP="00000000" w:rsidRDefault="00000000" w:rsidRPr="00000000" w14:paraId="000000CB">
      <w:pPr>
        <w:ind w:hanging="480"/>
        <w:jc w:val="both"/>
        <w:rPr>
          <w:color w:val="000000"/>
        </w:rPr>
      </w:pPr>
      <w:r w:rsidDel="00000000" w:rsidR="00000000" w:rsidRPr="00000000">
        <w:rPr>
          <w:color w:val="000000"/>
          <w:rtl w:val="0"/>
        </w:rPr>
        <w:t xml:space="preserve">Lim, H. W., Li, N., Fang, D., &amp; Wu, C. (2018). Impact of Safety Climate on Types of Safety Motivation and Performance: Multigroup Invariance Analysis. </w:t>
      </w:r>
      <w:r w:rsidDel="00000000" w:rsidR="00000000" w:rsidRPr="00000000">
        <w:rPr>
          <w:i w:val="1"/>
          <w:iCs w:val="1"/>
          <w:color w:val="000000"/>
          <w:rtl w:val="0"/>
        </w:rPr>
        <w:t xml:space="preserve">Journal of Management in Engineering</w:t>
      </w:r>
      <w:r w:rsidDel="00000000" w:rsidR="00000000" w:rsidRPr="00000000">
        <w:rPr>
          <w:color w:val="000000"/>
          <w:rtl w:val="0"/>
        </w:rPr>
        <w:t xml:space="preserve">, </w:t>
      </w:r>
      <w:r w:rsidDel="00000000" w:rsidR="00000000" w:rsidRPr="00000000">
        <w:rPr>
          <w:i w:val="1"/>
          <w:iCs w:val="1"/>
          <w:color w:val="000000"/>
          <w:rtl w:val="0"/>
        </w:rPr>
        <w:t xml:space="preserve">34</w:t>
      </w:r>
      <w:r w:rsidDel="00000000" w:rsidR="00000000" w:rsidRPr="00000000">
        <w:rPr>
          <w:color w:val="000000"/>
          <w:rtl w:val="0"/>
        </w:rPr>
        <w:t xml:space="preserve">(3), 04018002. https://doi.org/10.1061/(ASCE)ME.1943-5479.0000595</w:t>
      </w:r>
    </w:p>
    <w:p w:rsidR="00000000" w:rsidDel="00000000" w:rsidP="00000000" w:rsidRDefault="00000000" w:rsidRPr="00000000" w14:paraId="000000CC">
      <w:pPr>
        <w:ind w:hanging="480"/>
        <w:jc w:val="both"/>
        <w:rPr>
          <w:color w:val="000000"/>
        </w:rPr>
      </w:pPr>
      <w:r w:rsidDel="00000000" w:rsidR="00000000" w:rsidRPr="00000000">
        <w:rPr>
          <w:color w:val="000000"/>
          <w:rtl w:val="0"/>
        </w:rPr>
        <w:t xml:space="preserve">Liu, S., Wei, Y., Yang, D., &amp; Zhang, J. (2025). A systematic review of antecedents of workers’ safety behavior: A grounded theory analysis. </w:t>
      </w:r>
      <w:r w:rsidDel="00000000" w:rsidR="00000000" w:rsidRPr="00000000">
        <w:rPr>
          <w:i w:val="1"/>
          <w:iCs w:val="1"/>
          <w:color w:val="000000"/>
          <w:rtl w:val="0"/>
        </w:rPr>
        <w:t xml:space="preserve">Safety Science</w:t>
      </w:r>
      <w:r w:rsidDel="00000000" w:rsidR="00000000" w:rsidRPr="00000000">
        <w:rPr>
          <w:color w:val="000000"/>
          <w:rtl w:val="0"/>
        </w:rPr>
        <w:t xml:space="preserve">, </w:t>
      </w:r>
      <w:r w:rsidDel="00000000" w:rsidR="00000000" w:rsidRPr="00000000">
        <w:rPr>
          <w:i w:val="1"/>
          <w:iCs w:val="1"/>
          <w:color w:val="000000"/>
          <w:rtl w:val="0"/>
        </w:rPr>
        <w:t xml:space="preserve">185</w:t>
      </w:r>
      <w:r w:rsidDel="00000000" w:rsidR="00000000" w:rsidRPr="00000000">
        <w:rPr>
          <w:color w:val="000000"/>
          <w:rtl w:val="0"/>
        </w:rPr>
        <w:t xml:space="preserve">, 106778. https://doi.org/10.1016/j.ssci.2025.106778</w:t>
      </w:r>
    </w:p>
    <w:p w:rsidR="00000000" w:rsidDel="00000000" w:rsidP="00000000" w:rsidRDefault="00000000" w:rsidRPr="00000000" w14:paraId="000000CD">
      <w:pPr>
        <w:ind w:hanging="480"/>
        <w:jc w:val="both"/>
        <w:rPr>
          <w:color w:val="000000"/>
        </w:rPr>
      </w:pPr>
      <w:r w:rsidDel="00000000" w:rsidR="00000000" w:rsidRPr="00000000">
        <w:rPr>
          <w:color w:val="000000"/>
          <w:rtl w:val="0"/>
        </w:rPr>
        <w:t xml:space="preserve">Luo, M., &amp; Shin, S.-H. (2019). Half-century research developments in maritime accidents: Future directions. </w:t>
      </w:r>
      <w:r w:rsidDel="00000000" w:rsidR="00000000" w:rsidRPr="00000000">
        <w:rPr>
          <w:i w:val="1"/>
          <w:iCs w:val="1"/>
          <w:color w:val="000000"/>
          <w:rtl w:val="0"/>
        </w:rPr>
        <w:t xml:space="preserve">Accident Analysis and Prevention</w:t>
      </w:r>
      <w:r w:rsidDel="00000000" w:rsidR="00000000" w:rsidRPr="00000000">
        <w:rPr>
          <w:color w:val="000000"/>
          <w:rtl w:val="0"/>
        </w:rPr>
        <w:t xml:space="preserve">, </w:t>
      </w:r>
      <w:r w:rsidDel="00000000" w:rsidR="00000000" w:rsidRPr="00000000">
        <w:rPr>
          <w:i w:val="1"/>
          <w:iCs w:val="1"/>
          <w:color w:val="000000"/>
          <w:rtl w:val="0"/>
        </w:rPr>
        <w:t xml:space="preserve">123</w:t>
      </w:r>
      <w:r w:rsidDel="00000000" w:rsidR="00000000" w:rsidRPr="00000000">
        <w:rPr>
          <w:color w:val="000000"/>
          <w:rtl w:val="0"/>
        </w:rPr>
        <w:t xml:space="preserve">, 448–460. https://doi.org/10.1016/J.AAP.2016.04.010</w:t>
      </w:r>
    </w:p>
    <w:p w:rsidR="00000000" w:rsidDel="00000000" w:rsidP="00000000" w:rsidRDefault="00000000" w:rsidRPr="00000000" w14:paraId="000000CE">
      <w:pPr>
        <w:ind w:hanging="480"/>
        <w:jc w:val="both"/>
        <w:rPr>
          <w:color w:val="000000"/>
        </w:rPr>
      </w:pPr>
      <w:r w:rsidDel="00000000" w:rsidR="00000000" w:rsidRPr="00000000">
        <w:rPr>
          <w:color w:val="000000"/>
          <w:rtl w:val="0"/>
        </w:rPr>
        <w:t xml:space="preserve">Mullins-Jaime, C., Case, S., &amp; Wachter, J. K. (2021). An Integrated Approach for Understanding, Correcting &amp; Preventing Unsafe Acts. </w:t>
      </w:r>
      <w:r w:rsidDel="00000000" w:rsidR="00000000" w:rsidRPr="00000000">
        <w:rPr>
          <w:i w:val="1"/>
          <w:iCs w:val="1"/>
          <w:color w:val="000000"/>
          <w:rtl w:val="0"/>
        </w:rPr>
        <w:t xml:space="preserve">Professional Safety</w:t>
      </w:r>
      <w:r w:rsidDel="00000000" w:rsidR="00000000" w:rsidRPr="00000000">
        <w:rPr>
          <w:color w:val="000000"/>
          <w:rtl w:val="0"/>
        </w:rPr>
        <w:t xml:space="preserve">, </w:t>
      </w:r>
      <w:r w:rsidDel="00000000" w:rsidR="00000000" w:rsidRPr="00000000">
        <w:rPr>
          <w:i w:val="1"/>
          <w:iCs w:val="1"/>
          <w:color w:val="000000"/>
          <w:rtl w:val="0"/>
        </w:rPr>
        <w:t xml:space="preserve">66</w:t>
      </w:r>
      <w:r w:rsidDel="00000000" w:rsidR="00000000" w:rsidRPr="00000000">
        <w:rPr>
          <w:color w:val="000000"/>
          <w:rtl w:val="0"/>
        </w:rPr>
        <w:t xml:space="preserve">(02), 20–27. https://dx.doi.org/</w:t>
      </w:r>
    </w:p>
    <w:p w:rsidR="00000000" w:rsidDel="00000000" w:rsidP="00000000" w:rsidRDefault="00000000" w:rsidRPr="00000000" w14:paraId="000000CF">
      <w:pPr>
        <w:ind w:hanging="480"/>
        <w:jc w:val="both"/>
        <w:rPr>
          <w:color w:val="000000"/>
        </w:rPr>
      </w:pPr>
      <w:r w:rsidDel="00000000" w:rsidR="00000000" w:rsidRPr="00000000">
        <w:rPr>
          <w:color w:val="000000"/>
          <w:rtl w:val="0"/>
        </w:rPr>
        <w:t xml:space="preserve">Neal, A., &amp; Griffin, M. A. (2006). A study of the lagged relationships among safety climate, safety motivation, safety behavior, and accidents at the individual and group levels. </w:t>
      </w:r>
      <w:r w:rsidDel="00000000" w:rsidR="00000000" w:rsidRPr="00000000">
        <w:rPr>
          <w:i w:val="1"/>
          <w:iCs w:val="1"/>
          <w:color w:val="000000"/>
          <w:rtl w:val="0"/>
        </w:rPr>
        <w:t xml:space="preserve">Journal of Applied Psychology</w:t>
      </w:r>
      <w:r w:rsidDel="00000000" w:rsidR="00000000" w:rsidRPr="00000000">
        <w:rPr>
          <w:color w:val="000000"/>
          <w:rtl w:val="0"/>
        </w:rPr>
        <w:t xml:space="preserve">, </w:t>
      </w:r>
      <w:r w:rsidDel="00000000" w:rsidR="00000000" w:rsidRPr="00000000">
        <w:rPr>
          <w:i w:val="1"/>
          <w:iCs w:val="1"/>
          <w:color w:val="000000"/>
          <w:rtl w:val="0"/>
        </w:rPr>
        <w:t xml:space="preserve">91</w:t>
      </w:r>
      <w:r w:rsidDel="00000000" w:rsidR="00000000" w:rsidRPr="00000000">
        <w:rPr>
          <w:color w:val="000000"/>
          <w:rtl w:val="0"/>
        </w:rPr>
        <w:t xml:space="preserve">(4), 946–953. https://doi.org/10.1037/0021-9010.91.4.946</w:t>
      </w:r>
    </w:p>
    <w:p w:rsidR="00000000" w:rsidDel="00000000" w:rsidP="00000000" w:rsidRDefault="00000000" w:rsidRPr="00000000" w14:paraId="000000D0">
      <w:pPr>
        <w:ind w:hanging="480"/>
        <w:jc w:val="both"/>
        <w:rPr>
          <w:color w:val="000000"/>
        </w:rPr>
      </w:pPr>
      <w:r w:rsidDel="00000000" w:rsidR="00000000" w:rsidRPr="00000000">
        <w:rPr>
          <w:color w:val="000000"/>
          <w:rtl w:val="0"/>
        </w:rPr>
        <w:t xml:space="preserve">Ott, V. L., van den Bergh, D., Boutin, B., van Doorn, J., Bartoš, F., Judd, N., van Langen, J., Korthals, L., Kievit, R., Groot, L., &amp; Wagenmakers, E. J. (2025). Informative data visualization with raincloud plots in JASP. </w:t>
      </w:r>
      <w:r w:rsidDel="00000000" w:rsidR="00000000" w:rsidRPr="00000000">
        <w:rPr>
          <w:i w:val="1"/>
          <w:iCs w:val="1"/>
          <w:color w:val="000000"/>
          <w:rtl w:val="0"/>
        </w:rPr>
        <w:t xml:space="preserve">Behavior Research Methods 2025 57:9</w:t>
      </w:r>
      <w:r w:rsidDel="00000000" w:rsidR="00000000" w:rsidRPr="00000000">
        <w:rPr>
          <w:color w:val="000000"/>
          <w:rtl w:val="0"/>
        </w:rPr>
        <w:t xml:space="preserve">, </w:t>
      </w:r>
      <w:r w:rsidDel="00000000" w:rsidR="00000000" w:rsidRPr="00000000">
        <w:rPr>
          <w:i w:val="1"/>
          <w:iCs w:val="1"/>
          <w:color w:val="000000"/>
          <w:rtl w:val="0"/>
        </w:rPr>
        <w:t xml:space="preserve">57</w:t>
      </w:r>
      <w:r w:rsidDel="00000000" w:rsidR="00000000" w:rsidRPr="00000000">
        <w:rPr>
          <w:color w:val="000000"/>
          <w:rtl w:val="0"/>
        </w:rPr>
        <w:t xml:space="preserve">(9), 265-. https://doi.org/10.3758/S13428-025-02773-5</w:t>
      </w:r>
    </w:p>
    <w:p w:rsidR="00000000" w:rsidDel="00000000" w:rsidP="00000000" w:rsidRDefault="00000000" w:rsidRPr="00000000" w14:paraId="000000D1">
      <w:pPr>
        <w:ind w:hanging="480"/>
        <w:jc w:val="both"/>
        <w:rPr>
          <w:color w:val="000000"/>
        </w:rPr>
      </w:pPr>
      <w:r w:rsidDel="00000000" w:rsidR="00000000" w:rsidRPr="00000000">
        <w:rPr>
          <w:color w:val="000000"/>
          <w:rtl w:val="0"/>
        </w:rPr>
        <w:t xml:space="preserve">Panuwatwanich, K., Al-Haadir, S., &amp; Stewart, R. A. (2017). Influence of safety motivation and climate on safety behaviour and outcomes: evidence from the Saudi Arabian construction industry. </w:t>
      </w:r>
      <w:r w:rsidDel="00000000" w:rsidR="00000000" w:rsidRPr="00000000">
        <w:rPr>
          <w:i w:val="1"/>
          <w:iCs w:val="1"/>
          <w:color w:val="000000"/>
          <w:rtl w:val="0"/>
        </w:rPr>
        <w:t xml:space="preserve">International Journal of Occupational Safety and Ergonomics</w:t>
      </w:r>
      <w:r w:rsidDel="00000000" w:rsidR="00000000" w:rsidRPr="00000000">
        <w:rPr>
          <w:color w:val="000000"/>
          <w:rtl w:val="0"/>
        </w:rPr>
        <w:t xml:space="preserve">, </w:t>
      </w:r>
      <w:r w:rsidDel="00000000" w:rsidR="00000000" w:rsidRPr="00000000">
        <w:rPr>
          <w:i w:val="1"/>
          <w:iCs w:val="1"/>
          <w:color w:val="000000"/>
          <w:rtl w:val="0"/>
        </w:rPr>
        <w:t xml:space="preserve">23</w:t>
      </w:r>
      <w:r w:rsidDel="00000000" w:rsidR="00000000" w:rsidRPr="00000000">
        <w:rPr>
          <w:color w:val="000000"/>
          <w:rtl w:val="0"/>
        </w:rPr>
        <w:t xml:space="preserve">(1), 60–75. https://doi.org/10.1080/10803548.2016.1235424</w:t>
      </w:r>
    </w:p>
    <w:p w:rsidR="00000000" w:rsidDel="00000000" w:rsidP="00000000" w:rsidRDefault="00000000" w:rsidRPr="00000000" w14:paraId="000000D2">
      <w:pPr>
        <w:ind w:hanging="480"/>
        <w:jc w:val="both"/>
        <w:rPr>
          <w:color w:val="000000"/>
        </w:rPr>
      </w:pPr>
      <w:r w:rsidDel="00000000" w:rsidR="00000000" w:rsidRPr="00000000">
        <w:rPr>
          <w:color w:val="000000"/>
          <w:rtl w:val="0"/>
        </w:rPr>
        <w:t xml:space="preserve">Peker, M., Doğru, O. C., &amp; Meşe, G. (2022). Role of Supervisor Behavioral Integrity for Safety in the Relationship Between Top-Management Safety Climate, Safety Motivation, and Safety Performance. </w:t>
      </w:r>
      <w:r w:rsidDel="00000000" w:rsidR="00000000" w:rsidRPr="00000000">
        <w:rPr>
          <w:i w:val="1"/>
          <w:iCs w:val="1"/>
          <w:color w:val="000000"/>
          <w:rtl w:val="0"/>
        </w:rPr>
        <w:t xml:space="preserve">Safety and Health at Work</w:t>
      </w:r>
      <w:r w:rsidDel="00000000" w:rsidR="00000000" w:rsidRPr="00000000">
        <w:rPr>
          <w:color w:val="000000"/>
          <w:rtl w:val="0"/>
        </w:rPr>
        <w:t xml:space="preserve">, </w:t>
      </w:r>
      <w:r w:rsidDel="00000000" w:rsidR="00000000" w:rsidRPr="00000000">
        <w:rPr>
          <w:i w:val="1"/>
          <w:iCs w:val="1"/>
          <w:color w:val="000000"/>
          <w:rtl w:val="0"/>
        </w:rPr>
        <w:t xml:space="preserve">13</w:t>
      </w:r>
      <w:r w:rsidDel="00000000" w:rsidR="00000000" w:rsidRPr="00000000">
        <w:rPr>
          <w:color w:val="000000"/>
          <w:rtl w:val="0"/>
        </w:rPr>
        <w:t xml:space="preserve">(2), 192–200. https://doi.org/10.1016/J.SHAW.2022.03.006</w:t>
      </w:r>
    </w:p>
    <w:p w:rsidR="00000000" w:rsidDel="00000000" w:rsidP="00000000" w:rsidRDefault="00000000" w:rsidRPr="00000000" w14:paraId="000000D3">
      <w:pPr>
        <w:ind w:hanging="480"/>
        <w:jc w:val="both"/>
        <w:rPr>
          <w:color w:val="000000"/>
        </w:rPr>
      </w:pPr>
      <w:r w:rsidDel="00000000" w:rsidR="00000000" w:rsidRPr="00000000">
        <w:rPr>
          <w:color w:val="000000"/>
          <w:rtl w:val="0"/>
        </w:rPr>
        <w:t xml:space="preserve">Roberts, S. E., Nielsen, D., Kotłowski, A., &amp; Jaremin, B. (2014). Fatal accidents and injuries among merchant seafarers worldwide. </w:t>
      </w:r>
      <w:r w:rsidDel="00000000" w:rsidR="00000000" w:rsidRPr="00000000">
        <w:rPr>
          <w:i w:val="1"/>
          <w:iCs w:val="1"/>
          <w:color w:val="000000"/>
          <w:rtl w:val="0"/>
        </w:rPr>
        <w:t xml:space="preserve">Occupational Medicine</w:t>
      </w:r>
      <w:r w:rsidDel="00000000" w:rsidR="00000000" w:rsidRPr="00000000">
        <w:rPr>
          <w:color w:val="000000"/>
          <w:rtl w:val="0"/>
        </w:rPr>
        <w:t xml:space="preserve">, </w:t>
      </w:r>
      <w:r w:rsidDel="00000000" w:rsidR="00000000" w:rsidRPr="00000000">
        <w:rPr>
          <w:i w:val="1"/>
          <w:iCs w:val="1"/>
          <w:color w:val="000000"/>
          <w:rtl w:val="0"/>
        </w:rPr>
        <w:t xml:space="preserve">64</w:t>
      </w:r>
      <w:r w:rsidDel="00000000" w:rsidR="00000000" w:rsidRPr="00000000">
        <w:rPr>
          <w:color w:val="000000"/>
          <w:rtl w:val="0"/>
        </w:rPr>
        <w:t xml:space="preserve">(4), 259–266. https://doi.org/10.1093/OCCMED/KQU017</w:t>
      </w:r>
    </w:p>
    <w:p w:rsidR="00000000" w:rsidDel="00000000" w:rsidP="00000000" w:rsidRDefault="00000000" w:rsidRPr="00000000" w14:paraId="000000D4">
      <w:pPr>
        <w:ind w:hanging="480"/>
        <w:jc w:val="both"/>
        <w:rPr>
          <w:color w:val="000000"/>
        </w:rPr>
      </w:pPr>
      <w:r w:rsidDel="00000000" w:rsidR="00000000" w:rsidRPr="00000000">
        <w:rPr>
          <w:color w:val="000000"/>
          <w:rtl w:val="0"/>
        </w:rPr>
        <w:t xml:space="preserve">Ryan, R. M., &amp; Deci, E. L. (2000). Self-determination theory and the facilitation of intrinsic motivation, social development, and well-being. </w:t>
      </w:r>
      <w:r w:rsidDel="00000000" w:rsidR="00000000" w:rsidRPr="00000000">
        <w:rPr>
          <w:i w:val="1"/>
          <w:iCs w:val="1"/>
          <w:color w:val="000000"/>
          <w:rtl w:val="0"/>
        </w:rPr>
        <w:t xml:space="preserve">American Psychologist</w:t>
      </w:r>
      <w:r w:rsidDel="00000000" w:rsidR="00000000" w:rsidRPr="00000000">
        <w:rPr>
          <w:color w:val="000000"/>
          <w:rtl w:val="0"/>
        </w:rPr>
        <w:t xml:space="preserve">, </w:t>
      </w:r>
      <w:r w:rsidDel="00000000" w:rsidR="00000000" w:rsidRPr="00000000">
        <w:rPr>
          <w:i w:val="1"/>
          <w:iCs w:val="1"/>
          <w:color w:val="000000"/>
          <w:rtl w:val="0"/>
        </w:rPr>
        <w:t xml:space="preserve">55</w:t>
      </w:r>
      <w:r w:rsidDel="00000000" w:rsidR="00000000" w:rsidRPr="00000000">
        <w:rPr>
          <w:color w:val="000000"/>
          <w:rtl w:val="0"/>
        </w:rPr>
        <w:t xml:space="preserve">(1), 68–78. https://doi.org/10.1037/0003-066X.55.1.68</w:t>
      </w:r>
    </w:p>
    <w:p w:rsidR="00000000" w:rsidDel="00000000" w:rsidP="00000000" w:rsidRDefault="00000000" w:rsidRPr="00000000" w14:paraId="000000D5">
      <w:pPr>
        <w:ind w:hanging="480"/>
        <w:jc w:val="both"/>
        <w:rPr>
          <w:color w:val="000000"/>
        </w:rPr>
      </w:pPr>
      <w:r w:rsidDel="00000000" w:rsidR="00000000" w:rsidRPr="00000000">
        <w:rPr>
          <w:color w:val="000000"/>
          <w:rtl w:val="0"/>
        </w:rPr>
        <w:t xml:space="preserve">Ryan, R. M., &amp; Deci, E. L. (2020). Intrinsic and extrinsic motivation from a self-determination theory perspective: Definitions, theory, practices, and future directions. </w:t>
      </w:r>
      <w:r w:rsidDel="00000000" w:rsidR="00000000" w:rsidRPr="00000000">
        <w:rPr>
          <w:i w:val="1"/>
          <w:iCs w:val="1"/>
          <w:color w:val="000000"/>
          <w:rtl w:val="0"/>
        </w:rPr>
        <w:t xml:space="preserve">Contemporary Educational Psychology</w:t>
      </w:r>
      <w:r w:rsidDel="00000000" w:rsidR="00000000" w:rsidRPr="00000000">
        <w:rPr>
          <w:color w:val="000000"/>
          <w:rtl w:val="0"/>
        </w:rPr>
        <w:t xml:space="preserve">, </w:t>
      </w:r>
      <w:r w:rsidDel="00000000" w:rsidR="00000000" w:rsidRPr="00000000">
        <w:rPr>
          <w:i w:val="1"/>
          <w:iCs w:val="1"/>
          <w:color w:val="000000"/>
          <w:rtl w:val="0"/>
        </w:rPr>
        <w:t xml:space="preserve">61</w:t>
      </w:r>
      <w:r w:rsidDel="00000000" w:rsidR="00000000" w:rsidRPr="00000000">
        <w:rPr>
          <w:color w:val="000000"/>
          <w:rtl w:val="0"/>
        </w:rPr>
        <w:t xml:space="preserve">, 101860. https://doi.org/10.1016/j.cedpsych.2020.101860</w:t>
      </w:r>
    </w:p>
    <w:p w:rsidR="00000000" w:rsidDel="00000000" w:rsidP="00000000" w:rsidRDefault="00000000" w:rsidRPr="00000000" w14:paraId="000000D6">
      <w:pPr>
        <w:ind w:hanging="480"/>
        <w:jc w:val="both"/>
        <w:rPr>
          <w:color w:val="000000"/>
        </w:rPr>
      </w:pPr>
      <w:r w:rsidDel="00000000" w:rsidR="00000000" w:rsidRPr="00000000">
        <w:rPr>
          <w:color w:val="000000"/>
          <w:rtl w:val="0"/>
        </w:rPr>
        <w:t xml:space="preserve">Ryan, R. M., &amp; Deci, E. L. (2022). Self-Determination Theory. </w:t>
      </w:r>
      <w:r w:rsidDel="00000000" w:rsidR="00000000" w:rsidRPr="00000000">
        <w:rPr>
          <w:i w:val="1"/>
          <w:iCs w:val="1"/>
          <w:color w:val="000000"/>
          <w:rtl w:val="0"/>
        </w:rPr>
        <w:t xml:space="preserve">Encyclopedia of Quality of Life and Well-Being Research</w:t>
      </w:r>
      <w:r w:rsidDel="00000000" w:rsidR="00000000" w:rsidRPr="00000000">
        <w:rPr>
          <w:color w:val="000000"/>
          <w:rtl w:val="0"/>
        </w:rPr>
        <w:t xml:space="preserve">, 1–7. https://doi.org/10.1007/978-3-319-69909-7_2630-2</w:t>
      </w:r>
    </w:p>
    <w:p w:rsidR="00000000" w:rsidDel="00000000" w:rsidP="00000000" w:rsidRDefault="00000000" w:rsidRPr="00000000" w14:paraId="000000D7">
      <w:pPr>
        <w:ind w:hanging="480"/>
        <w:jc w:val="both"/>
        <w:rPr>
          <w:color w:val="000000"/>
        </w:rPr>
      </w:pPr>
      <w:r w:rsidDel="00000000" w:rsidR="00000000" w:rsidRPr="00000000">
        <w:rPr>
          <w:color w:val="000000"/>
          <w:rtl w:val="0"/>
        </w:rPr>
        <w:t xml:space="preserve">Stavrou, D. I., &amp; Ventikos, N. P. (2016). A novel approach in risk evaluation for ship-to-ship (STS) transfer of cargo using process failure mode and effects analysis (PFMEA). </w:t>
      </w:r>
      <w:r w:rsidDel="00000000" w:rsidR="00000000" w:rsidRPr="00000000">
        <w:rPr>
          <w:i w:val="1"/>
          <w:iCs w:val="1"/>
          <w:color w:val="000000"/>
          <w:rtl w:val="0"/>
        </w:rPr>
        <w:t xml:space="preserve">Journal of Risk Research</w:t>
      </w:r>
      <w:r w:rsidDel="00000000" w:rsidR="00000000" w:rsidRPr="00000000">
        <w:rPr>
          <w:color w:val="000000"/>
          <w:rtl w:val="0"/>
        </w:rPr>
        <w:t xml:space="preserve">, </w:t>
      </w:r>
      <w:r w:rsidDel="00000000" w:rsidR="00000000" w:rsidRPr="00000000">
        <w:rPr>
          <w:i w:val="1"/>
          <w:iCs w:val="1"/>
          <w:color w:val="000000"/>
          <w:rtl w:val="0"/>
        </w:rPr>
        <w:t xml:space="preserve">19</w:t>
      </w:r>
      <w:r w:rsidDel="00000000" w:rsidR="00000000" w:rsidRPr="00000000">
        <w:rPr>
          <w:color w:val="000000"/>
          <w:rtl w:val="0"/>
        </w:rPr>
        <w:t xml:space="preserve">(7), 913–933. https://doi.org/10.1080/13669877.2015.1043572</w:t>
      </w:r>
    </w:p>
    <w:p w:rsidR="00000000" w:rsidDel="00000000" w:rsidP="00000000" w:rsidRDefault="00000000" w:rsidRPr="00000000" w14:paraId="000000D8">
      <w:pPr>
        <w:ind w:hanging="480"/>
        <w:jc w:val="both"/>
        <w:rPr>
          <w:color w:val="000000"/>
        </w:rPr>
      </w:pPr>
      <w:r w:rsidDel="00000000" w:rsidR="00000000" w:rsidRPr="00000000">
        <w:rPr>
          <w:color w:val="000000"/>
          <w:rtl w:val="0"/>
        </w:rPr>
        <w:t xml:space="preserve">Sulphey, M. M., &amp; Adow, A. H. E. (2026). Behavior based safety in projects: A bibliometric analysis of global literature. </w:t>
      </w:r>
      <w:r w:rsidDel="00000000" w:rsidR="00000000" w:rsidRPr="00000000">
        <w:rPr>
          <w:i w:val="1"/>
          <w:iCs w:val="1"/>
          <w:color w:val="000000"/>
          <w:rtl w:val="0"/>
        </w:rPr>
        <w:t xml:space="preserve">Journal of Project Management</w:t>
      </w:r>
      <w:r w:rsidDel="00000000" w:rsidR="00000000" w:rsidRPr="00000000">
        <w:rPr>
          <w:color w:val="000000"/>
          <w:rtl w:val="0"/>
        </w:rPr>
        <w:t xml:space="preserve">, </w:t>
      </w:r>
      <w:r w:rsidDel="00000000" w:rsidR="00000000" w:rsidRPr="00000000">
        <w:rPr>
          <w:i w:val="1"/>
          <w:iCs w:val="1"/>
          <w:color w:val="000000"/>
          <w:rtl w:val="0"/>
        </w:rPr>
        <w:t xml:space="preserve">11</w:t>
      </w:r>
      <w:r w:rsidDel="00000000" w:rsidR="00000000" w:rsidRPr="00000000">
        <w:rPr>
          <w:color w:val="000000"/>
          <w:rtl w:val="0"/>
        </w:rPr>
        <w:t xml:space="preserve">, 99–110. https://doi.org/10.5267/j.jpm.2025.10.007</w:t>
      </w:r>
    </w:p>
    <w:p w:rsidR="00000000" w:rsidDel="00000000" w:rsidP="00000000" w:rsidRDefault="00000000" w:rsidRPr="00000000" w14:paraId="000000D9">
      <w:pPr>
        <w:ind w:hanging="480"/>
        <w:jc w:val="both"/>
        <w:rPr>
          <w:color w:val="000000"/>
        </w:rPr>
      </w:pPr>
      <w:r w:rsidDel="00000000" w:rsidR="00000000" w:rsidRPr="00000000">
        <w:rPr>
          <w:color w:val="000000"/>
          <w:rtl w:val="0"/>
        </w:rPr>
        <w:t xml:space="preserve">Teng, Y., Sun, Y., Yang, H., Guo, X., &amp; Chen, X. (2022). Research on the relationship between enterprise safety production management mode and employees’ safety behavior based on social cognition and behavior incentive theory. </w:t>
      </w:r>
      <w:r w:rsidDel="00000000" w:rsidR="00000000" w:rsidRPr="00000000">
        <w:rPr>
          <w:i w:val="1"/>
          <w:iCs w:val="1"/>
          <w:color w:val="000000"/>
          <w:rtl w:val="0"/>
        </w:rPr>
        <w:t xml:space="preserve">International Journal of Occupational Safety and Ergonomics</w:t>
      </w:r>
      <w:r w:rsidDel="00000000" w:rsidR="00000000" w:rsidRPr="00000000">
        <w:rPr>
          <w:color w:val="000000"/>
          <w:rtl w:val="0"/>
        </w:rPr>
        <w:t xml:space="preserve">, </w:t>
      </w:r>
      <w:r w:rsidDel="00000000" w:rsidR="00000000" w:rsidRPr="00000000">
        <w:rPr>
          <w:i w:val="1"/>
          <w:iCs w:val="1"/>
          <w:color w:val="000000"/>
          <w:rtl w:val="0"/>
        </w:rPr>
        <w:t xml:space="preserve">28</w:t>
      </w:r>
      <w:r w:rsidDel="00000000" w:rsidR="00000000" w:rsidRPr="00000000">
        <w:rPr>
          <w:color w:val="000000"/>
          <w:rtl w:val="0"/>
        </w:rPr>
        <w:t xml:space="preserve">(4), 2676–2685. https://doi.org/10.1080/10803548.2021.2022957;SUBPAGE:STRING:ACCESS</w:t>
      </w:r>
    </w:p>
    <w:p w:rsidR="00000000" w:rsidDel="00000000" w:rsidP="00000000" w:rsidRDefault="00000000" w:rsidRPr="00000000" w14:paraId="000000DA">
      <w:pPr>
        <w:ind w:hanging="480"/>
        <w:jc w:val="both"/>
        <w:rPr>
          <w:color w:val="000000"/>
        </w:rPr>
      </w:pPr>
      <w:r w:rsidDel="00000000" w:rsidR="00000000" w:rsidRPr="00000000">
        <w:rPr>
          <w:color w:val="000000"/>
          <w:rtl w:val="0"/>
        </w:rPr>
        <w:t xml:space="preserve">T.R. Krause, John Hidley, &amp; W. Lareau. (1984). Behavioral science applied to accident prevention. </w:t>
      </w:r>
      <w:r w:rsidDel="00000000" w:rsidR="00000000" w:rsidRPr="00000000">
        <w:rPr>
          <w:i w:val="1"/>
          <w:iCs w:val="1"/>
          <w:color w:val="000000"/>
          <w:rtl w:val="0"/>
        </w:rPr>
        <w:t xml:space="preserve">Professional Safety</w:t>
      </w:r>
      <w:r w:rsidDel="00000000" w:rsidR="00000000" w:rsidRPr="00000000">
        <w:rPr>
          <w:color w:val="000000"/>
          <w:rtl w:val="0"/>
        </w:rPr>
        <w:t xml:space="preserve">, </w:t>
      </w:r>
      <w:r w:rsidDel="00000000" w:rsidR="00000000" w:rsidRPr="00000000">
        <w:rPr>
          <w:i w:val="1"/>
          <w:iCs w:val="1"/>
          <w:color w:val="000000"/>
          <w:rtl w:val="0"/>
        </w:rPr>
        <w:t xml:space="preserve">29</w:t>
      </w:r>
      <w:r w:rsidDel="00000000" w:rsidR="00000000" w:rsidRPr="00000000">
        <w:rPr>
          <w:color w:val="000000"/>
          <w:rtl w:val="0"/>
        </w:rPr>
        <w:t xml:space="preserve">(7), 21–27.</w:t>
      </w:r>
    </w:p>
    <w:p w:rsidR="00000000" w:rsidDel="00000000" w:rsidP="00000000" w:rsidRDefault="00000000" w:rsidRPr="00000000" w14:paraId="000000DB">
      <w:pPr>
        <w:ind w:hanging="480"/>
        <w:jc w:val="both"/>
        <w:rPr>
          <w:color w:val="000000"/>
        </w:rPr>
      </w:pPr>
      <w:r w:rsidDel="00000000" w:rsidR="00000000" w:rsidRPr="00000000">
        <w:rPr>
          <w:color w:val="000000"/>
          <w:rtl w:val="0"/>
        </w:rPr>
        <w:t xml:space="preserve">UNCTAD. (2025). </w:t>
      </w:r>
      <w:r w:rsidDel="00000000" w:rsidR="00000000" w:rsidRPr="00000000">
        <w:rPr>
          <w:i w:val="1"/>
          <w:iCs w:val="1"/>
          <w:color w:val="000000"/>
          <w:rtl w:val="0"/>
        </w:rPr>
        <w:t xml:space="preserve">Review of maritime transport 2025</w:t>
      </w:r>
      <w:r w:rsidDel="00000000" w:rsidR="00000000" w:rsidRPr="00000000">
        <w:rPr>
          <w:color w:val="000000"/>
          <w:rtl w:val="0"/>
        </w:rPr>
        <w:t xml:space="preserve">. http://creativecommons.org/licenses/by/3.0/igo/.</w:t>
      </w:r>
    </w:p>
    <w:p w:rsidR="00000000" w:rsidDel="00000000" w:rsidP="00000000" w:rsidRDefault="00000000" w:rsidRPr="00000000" w14:paraId="000000DC">
      <w:pPr>
        <w:ind w:hanging="480"/>
        <w:jc w:val="both"/>
        <w:rPr>
          <w:color w:val="000000"/>
        </w:rPr>
      </w:pPr>
      <w:r w:rsidDel="00000000" w:rsidR="00000000" w:rsidRPr="00000000">
        <w:rPr>
          <w:color w:val="000000"/>
          <w:rtl w:val="0"/>
        </w:rPr>
        <w:t xml:space="preserve">Valdez Banda, O. A., &amp; Goerlandt, F. (2018). A STAMP-based approach for designing maritime safety management systems. </w:t>
      </w:r>
      <w:r w:rsidDel="00000000" w:rsidR="00000000" w:rsidRPr="00000000">
        <w:rPr>
          <w:i w:val="1"/>
          <w:iCs w:val="1"/>
          <w:color w:val="000000"/>
          <w:rtl w:val="0"/>
        </w:rPr>
        <w:t xml:space="preserve">Safety Science</w:t>
      </w:r>
      <w:r w:rsidDel="00000000" w:rsidR="00000000" w:rsidRPr="00000000">
        <w:rPr>
          <w:color w:val="000000"/>
          <w:rtl w:val="0"/>
        </w:rPr>
        <w:t xml:space="preserve">, </w:t>
      </w:r>
      <w:r w:rsidDel="00000000" w:rsidR="00000000" w:rsidRPr="00000000">
        <w:rPr>
          <w:i w:val="1"/>
          <w:iCs w:val="1"/>
          <w:color w:val="000000"/>
          <w:rtl w:val="0"/>
        </w:rPr>
        <w:t xml:space="preserve">109</w:t>
      </w:r>
      <w:r w:rsidDel="00000000" w:rsidR="00000000" w:rsidRPr="00000000">
        <w:rPr>
          <w:color w:val="000000"/>
          <w:rtl w:val="0"/>
        </w:rPr>
        <w:t xml:space="preserve">, 109–129. https://doi.org/10.1016/J.SSCI.2018.05.003</w:t>
      </w:r>
    </w:p>
    <w:p w:rsidR="00000000" w:rsidDel="00000000" w:rsidP="00000000" w:rsidRDefault="00000000" w:rsidRPr="00000000" w14:paraId="000000DD">
      <w:pPr>
        <w:ind w:hanging="480"/>
        <w:jc w:val="both"/>
        <w:rPr>
          <w:color w:val="000000"/>
        </w:rPr>
      </w:pPr>
      <w:r w:rsidDel="00000000" w:rsidR="00000000" w:rsidRPr="00000000">
        <w:rPr>
          <w:color w:val="000000"/>
          <w:rtl w:val="0"/>
        </w:rPr>
        <w:t xml:space="preserve">Ventikos, N. P., &amp; Stavrou, D. I. (2013). Ship to Ship (STS) Transfer οf Cargo: Latest Developments and Operational Risk Assessment. </w:t>
      </w:r>
      <w:r w:rsidDel="00000000" w:rsidR="00000000" w:rsidRPr="00000000">
        <w:rPr>
          <w:i w:val="1"/>
          <w:iCs w:val="1"/>
          <w:color w:val="000000"/>
          <w:rtl w:val="0"/>
        </w:rPr>
        <w:t xml:space="preserve">SPOUDAI  Journal of Economics and Business</w:t>
      </w:r>
      <w:r w:rsidDel="00000000" w:rsidR="00000000" w:rsidRPr="00000000">
        <w:rPr>
          <w:color w:val="000000"/>
          <w:rtl w:val="0"/>
        </w:rPr>
        <w:t xml:space="preserve">, </w:t>
      </w:r>
      <w:r w:rsidDel="00000000" w:rsidR="00000000" w:rsidRPr="00000000">
        <w:rPr>
          <w:i w:val="1"/>
          <w:iCs w:val="1"/>
          <w:color w:val="000000"/>
          <w:rtl w:val="0"/>
        </w:rPr>
        <w:t xml:space="preserve">63</w:t>
      </w:r>
      <w:r w:rsidDel="00000000" w:rsidR="00000000" w:rsidRPr="00000000">
        <w:rPr>
          <w:color w:val="000000"/>
          <w:rtl w:val="0"/>
        </w:rPr>
        <w:t xml:space="preserve">(3–4), 172–180. http://spoudai.unipi.gr</w:t>
      </w:r>
    </w:p>
    <w:p w:rsidR="00000000" w:rsidDel="00000000" w:rsidP="00000000" w:rsidRDefault="00000000" w:rsidRPr="00000000" w14:paraId="000000DE">
      <w:pPr>
        <w:ind w:hanging="480"/>
        <w:jc w:val="both"/>
        <w:rPr>
          <w:color w:val="000000"/>
        </w:rPr>
      </w:pPr>
      <w:r w:rsidDel="00000000" w:rsidR="00000000" w:rsidRPr="00000000">
        <w:rPr>
          <w:color w:val="000000"/>
          <w:rtl w:val="0"/>
        </w:rPr>
        <w:t xml:space="preserve">Wang, D., Wang, X., &amp; Wang, L. (2018). How psychological capital affects construction workers’ safety behavior: The mediating role of safety motivation. </w:t>
      </w:r>
      <w:r w:rsidDel="00000000" w:rsidR="00000000" w:rsidRPr="00000000">
        <w:rPr>
          <w:i w:val="1"/>
          <w:iCs w:val="1"/>
          <w:color w:val="000000"/>
          <w:rtl w:val="0"/>
        </w:rPr>
        <w:t xml:space="preserve">Construction Research Congress 2018: Safety and Disaster Management - Selected Papers from the Construction Research Congress 2018</w:t>
      </w:r>
      <w:r w:rsidDel="00000000" w:rsidR="00000000" w:rsidRPr="00000000">
        <w:rPr>
          <w:color w:val="000000"/>
          <w:rtl w:val="0"/>
        </w:rPr>
        <w:t xml:space="preserve">, </w:t>
      </w:r>
      <w:r w:rsidDel="00000000" w:rsidR="00000000" w:rsidRPr="00000000">
        <w:rPr>
          <w:i w:val="1"/>
          <w:iCs w:val="1"/>
          <w:color w:val="000000"/>
          <w:rtl w:val="0"/>
        </w:rPr>
        <w:t xml:space="preserve">2018-April</w:t>
      </w:r>
      <w:r w:rsidDel="00000000" w:rsidR="00000000" w:rsidRPr="00000000">
        <w:rPr>
          <w:color w:val="000000"/>
          <w:rtl w:val="0"/>
        </w:rPr>
        <w:t xml:space="preserve">, 282–291. https://doi.org/10.1061/9780784481288.028</w:t>
      </w:r>
    </w:p>
    <w:p w:rsidR="00000000" w:rsidDel="00000000" w:rsidP="00000000" w:rsidRDefault="00000000" w:rsidRPr="00000000" w14:paraId="000000DF">
      <w:pPr>
        <w:ind w:hanging="480"/>
        <w:jc w:val="both"/>
        <w:rPr>
          <w:color w:val="000000"/>
        </w:rPr>
      </w:pPr>
      <w:r w:rsidDel="00000000" w:rsidR="00000000" w:rsidRPr="00000000">
        <w:rPr>
          <w:color w:val="000000"/>
          <w:rtl w:val="0"/>
        </w:rPr>
        <w:t xml:space="preserve">Wang, H., Liu, Z., Wang, X., Graham, T., &amp; Wang, J. (2021). An analysis of factors affecting the severity of marine accidents. </w:t>
      </w:r>
      <w:r w:rsidDel="00000000" w:rsidR="00000000" w:rsidRPr="00000000">
        <w:rPr>
          <w:i w:val="1"/>
          <w:iCs w:val="1"/>
          <w:color w:val="000000"/>
          <w:rtl w:val="0"/>
        </w:rPr>
        <w:t xml:space="preserve">Reliability Engineering and System Safety</w:t>
      </w:r>
      <w:r w:rsidDel="00000000" w:rsidR="00000000" w:rsidRPr="00000000">
        <w:rPr>
          <w:color w:val="000000"/>
          <w:rtl w:val="0"/>
        </w:rPr>
        <w:t xml:space="preserve">, </w:t>
      </w:r>
      <w:r w:rsidDel="00000000" w:rsidR="00000000" w:rsidRPr="00000000">
        <w:rPr>
          <w:i w:val="1"/>
          <w:iCs w:val="1"/>
          <w:color w:val="000000"/>
          <w:rtl w:val="0"/>
        </w:rPr>
        <w:t xml:space="preserve">210</w:t>
      </w:r>
      <w:r w:rsidDel="00000000" w:rsidR="00000000" w:rsidRPr="00000000">
        <w:rPr>
          <w:color w:val="000000"/>
          <w:rtl w:val="0"/>
        </w:rPr>
        <w:t xml:space="preserve">. https://doi.org/10.1016/J.RESS.2021.107513</w:t>
      </w:r>
    </w:p>
    <w:p w:rsidR="00000000" w:rsidDel="00000000" w:rsidP="00000000" w:rsidRDefault="00000000" w:rsidRPr="00000000" w14:paraId="000000E0">
      <w:pPr>
        <w:ind w:hanging="480"/>
        <w:jc w:val="both"/>
        <w:rPr>
          <w:color w:val="000000"/>
        </w:rPr>
      </w:pPr>
      <w:r w:rsidDel="00000000" w:rsidR="00000000" w:rsidRPr="00000000">
        <w:rPr>
          <w:color w:val="000000"/>
          <w:rtl w:val="0"/>
        </w:rPr>
        <w:t xml:space="preserve">Wróbel, K. (2021). Searching for the origins of the myth: 80% human error impact on maritime safety. </w:t>
      </w:r>
      <w:r w:rsidDel="00000000" w:rsidR="00000000" w:rsidRPr="00000000">
        <w:rPr>
          <w:i w:val="1"/>
          <w:iCs w:val="1"/>
          <w:color w:val="000000"/>
          <w:rtl w:val="0"/>
        </w:rPr>
        <w:t xml:space="preserve">Reliability Engineering and System Safety</w:t>
      </w:r>
      <w:r w:rsidDel="00000000" w:rsidR="00000000" w:rsidRPr="00000000">
        <w:rPr>
          <w:color w:val="000000"/>
          <w:rtl w:val="0"/>
        </w:rPr>
        <w:t xml:space="preserve">, </w:t>
      </w:r>
      <w:r w:rsidDel="00000000" w:rsidR="00000000" w:rsidRPr="00000000">
        <w:rPr>
          <w:i w:val="1"/>
          <w:iCs w:val="1"/>
          <w:color w:val="000000"/>
          <w:rtl w:val="0"/>
        </w:rPr>
        <w:t xml:space="preserve">216</w:t>
      </w:r>
      <w:r w:rsidDel="00000000" w:rsidR="00000000" w:rsidRPr="00000000">
        <w:rPr>
          <w:color w:val="000000"/>
          <w:rtl w:val="0"/>
        </w:rPr>
        <w:t xml:space="preserve">. https://doi.org/10.1016/J.RESS.2021.107942</w:t>
      </w:r>
    </w:p>
    <w:p w:rsidR="00000000" w:rsidDel="00000000" w:rsidP="00000000" w:rsidRDefault="00000000" w:rsidRPr="00000000" w14:paraId="000000E1">
      <w:pPr>
        <w:ind w:hanging="480"/>
        <w:jc w:val="both"/>
        <w:rPr>
          <w:color w:val="000000"/>
        </w:rPr>
      </w:pPr>
      <w:r w:rsidDel="00000000" w:rsidR="00000000" w:rsidRPr="00000000">
        <w:rPr>
          <w:color w:val="000000"/>
          <w:rtl w:val="0"/>
        </w:rPr>
        <w:t xml:space="preserve">Xi, Y., Hu, S., Yang, Z., Fu, S., &amp; Weng, J. (2023). Analysis of safety climate effect on individual safety consciousness creation and safety behaviour improvement in shipping operations. </w:t>
      </w:r>
      <w:r w:rsidDel="00000000" w:rsidR="00000000" w:rsidRPr="00000000">
        <w:rPr>
          <w:i w:val="1"/>
          <w:iCs w:val="1"/>
          <w:color w:val="000000"/>
          <w:rtl w:val="0"/>
        </w:rPr>
        <w:t xml:space="preserve">Maritime Policy and Management</w:t>
      </w:r>
      <w:r w:rsidDel="00000000" w:rsidR="00000000" w:rsidRPr="00000000">
        <w:rPr>
          <w:color w:val="000000"/>
          <w:rtl w:val="0"/>
        </w:rPr>
        <w:t xml:space="preserve">, </w:t>
      </w:r>
      <w:r w:rsidDel="00000000" w:rsidR="00000000" w:rsidRPr="00000000">
        <w:rPr>
          <w:i w:val="1"/>
          <w:iCs w:val="1"/>
          <w:color w:val="000000"/>
          <w:rtl w:val="0"/>
        </w:rPr>
        <w:t xml:space="preserve">50</w:t>
      </w:r>
      <w:r w:rsidDel="00000000" w:rsidR="00000000" w:rsidRPr="00000000">
        <w:rPr>
          <w:color w:val="000000"/>
          <w:rtl w:val="0"/>
        </w:rPr>
        <w:t xml:space="preserve">(7), 941–956. https://doi.org/10.1080/03088839.2022.2059718;JOURNAL:JOURNAL:TMPM19;ISSUE:ISSUE:DOI</w:t>
      </w:r>
    </w:p>
    <w:p w:rsidR="00000000" w:rsidDel="00000000" w:rsidP="00000000" w:rsidRDefault="00000000" w:rsidRPr="00000000" w14:paraId="000000E2">
      <w:pPr>
        <w:ind w:hanging="480"/>
        <w:jc w:val="both"/>
        <w:rPr>
          <w:color w:val="000000"/>
        </w:rPr>
      </w:pPr>
      <w:r w:rsidDel="00000000" w:rsidR="00000000" w:rsidRPr="00000000">
        <w:rPr>
          <w:color w:val="000000"/>
          <w:rtl w:val="0"/>
        </w:rPr>
        <w:t xml:space="preserve">Xiang, Q., Li, X., Ye, G., Yang, J., &amp; Liang, Q. (2025). Autonomous versus controlled safety motivations: Examining the distinct influences on construction workers’ safety behaviors and the moderating effect of role identity. </w:t>
      </w:r>
      <w:r w:rsidDel="00000000" w:rsidR="00000000" w:rsidRPr="00000000">
        <w:rPr>
          <w:i w:val="1"/>
          <w:iCs w:val="1"/>
          <w:color w:val="000000"/>
          <w:rtl w:val="0"/>
        </w:rPr>
        <w:t xml:space="preserve">KSCE Journal of Civil Engineering</w:t>
      </w:r>
      <w:r w:rsidDel="00000000" w:rsidR="00000000" w:rsidRPr="00000000">
        <w:rPr>
          <w:color w:val="000000"/>
          <w:rtl w:val="0"/>
        </w:rPr>
        <w:t xml:space="preserve">, </w:t>
      </w:r>
      <w:r w:rsidDel="00000000" w:rsidR="00000000" w:rsidRPr="00000000">
        <w:rPr>
          <w:i w:val="1"/>
          <w:iCs w:val="1"/>
          <w:color w:val="000000"/>
          <w:rtl w:val="0"/>
        </w:rPr>
        <w:t xml:space="preserve">29</w:t>
      </w:r>
      <w:r w:rsidDel="00000000" w:rsidR="00000000" w:rsidRPr="00000000">
        <w:rPr>
          <w:color w:val="000000"/>
          <w:rtl w:val="0"/>
        </w:rPr>
        <w:t xml:space="preserve">(1), 100011. https://doi.org/10.1016/j.kscej.2024.100011</w:t>
      </w:r>
    </w:p>
    <w:p w:rsidR="00000000" w:rsidDel="00000000" w:rsidP="00000000" w:rsidRDefault="00000000" w:rsidRPr="00000000" w14:paraId="000000E3">
      <w:pPr>
        <w:ind w:hanging="480"/>
        <w:jc w:val="both"/>
        <w:rPr>
          <w:color w:val="000000"/>
        </w:rPr>
      </w:pPr>
      <w:r w:rsidDel="00000000" w:rsidR="00000000" w:rsidRPr="00000000">
        <w:rPr>
          <w:color w:val="000000"/>
          <w:rtl w:val="0"/>
        </w:rPr>
        <w:t xml:space="preserve">Xue, Y., Fan, Y., &amp; Xie, X. (2020). Relation between senior managers’ safety leadership and safety behavior in the Chinese petrochemical industry. </w:t>
      </w:r>
      <w:r w:rsidDel="00000000" w:rsidR="00000000" w:rsidRPr="00000000">
        <w:rPr>
          <w:i w:val="1"/>
          <w:iCs w:val="1"/>
          <w:color w:val="000000"/>
          <w:rtl w:val="0"/>
        </w:rPr>
        <w:t xml:space="preserve">Journal of Loss Prevention in the Process Industries</w:t>
      </w:r>
      <w:r w:rsidDel="00000000" w:rsidR="00000000" w:rsidRPr="00000000">
        <w:rPr>
          <w:color w:val="000000"/>
          <w:rtl w:val="0"/>
        </w:rPr>
        <w:t xml:space="preserve">, </w:t>
      </w:r>
      <w:r w:rsidDel="00000000" w:rsidR="00000000" w:rsidRPr="00000000">
        <w:rPr>
          <w:i w:val="1"/>
          <w:iCs w:val="1"/>
          <w:color w:val="000000"/>
          <w:rtl w:val="0"/>
        </w:rPr>
        <w:t xml:space="preserve">65</w:t>
      </w:r>
      <w:r w:rsidDel="00000000" w:rsidR="00000000" w:rsidRPr="00000000">
        <w:rPr>
          <w:color w:val="000000"/>
          <w:rtl w:val="0"/>
        </w:rPr>
        <w:t xml:space="preserve">, 104142. https://doi.org/10.1016/J.JLP.2020.104142</w:t>
      </w:r>
    </w:p>
    <w:p w:rsidR="00000000" w:rsidDel="00000000" w:rsidP="00000000" w:rsidRDefault="00000000" w:rsidRPr="00000000" w14:paraId="000000E4">
      <w:pPr>
        <w:ind w:hanging="480"/>
        <w:jc w:val="both"/>
        <w:rPr>
          <w:color w:val="000000"/>
        </w:rPr>
      </w:pPr>
      <w:r w:rsidDel="00000000" w:rsidR="00000000" w:rsidRPr="00000000">
        <w:rPr>
          <w:color w:val="000000"/>
          <w:rtl w:val="0"/>
        </w:rPr>
        <w:t xml:space="preserve">Zhang, J., Zhai, H., Meng, X., Wang, W., &amp; Zhou, L. (2020). Influence of Social Safety Capital on Safety Citizenship Behavior: The Mediation of Autonomous Safety Motivation. </w:t>
      </w:r>
      <w:r w:rsidDel="00000000" w:rsidR="00000000" w:rsidRPr="00000000">
        <w:rPr>
          <w:i w:val="1"/>
          <w:iCs w:val="1"/>
          <w:color w:val="000000"/>
          <w:rtl w:val="0"/>
        </w:rPr>
        <w:t xml:space="preserve">International Journal of Environmental Research and Public Health 2020, Vol. 17, Page 866</w:t>
      </w:r>
      <w:r w:rsidDel="00000000" w:rsidR="00000000" w:rsidRPr="00000000">
        <w:rPr>
          <w:color w:val="000000"/>
          <w:rtl w:val="0"/>
        </w:rPr>
        <w:t xml:space="preserve">, </w:t>
      </w:r>
      <w:r w:rsidDel="00000000" w:rsidR="00000000" w:rsidRPr="00000000">
        <w:rPr>
          <w:i w:val="1"/>
          <w:iCs w:val="1"/>
          <w:color w:val="000000"/>
          <w:rtl w:val="0"/>
        </w:rPr>
        <w:t xml:space="preserve">17</w:t>
      </w:r>
      <w:r w:rsidDel="00000000" w:rsidR="00000000" w:rsidRPr="00000000">
        <w:rPr>
          <w:color w:val="000000"/>
          <w:rtl w:val="0"/>
        </w:rPr>
        <w:t xml:space="preserve">(3), 866. https://doi.org/10.3390/IJERPH17030866</w:t>
      </w:r>
    </w:p>
    <w:p w:rsidR="00000000" w:rsidDel="00000000" w:rsidP="00000000" w:rsidRDefault="00000000" w:rsidRPr="00000000" w14:paraId="000000E5">
      <w:pPr>
        <w:spacing w:after="240" w:lineRule="auto"/>
        <w:ind w:right="4"/>
        <w:jc w:val="both"/>
        <w:rPr>
          <w:highlight w:val="yellow"/>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sectPr>
      <w:headerReference r:id="rId11"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pStyle w:val="Subtitle"/>
      <w:keepNext w:val="1"/>
      <w:keepLines w:val="1"/>
      <w:tabs>
        <w:tab w:val="center" w:leader="none" w:pos="4680"/>
        <w:tab w:val="right" w:leader="none" w:pos="9360"/>
        <w:tab w:val="center" w:leader="none" w:pos="4680"/>
        <w:tab w:val="right" w:leader="none" w:pos="9360"/>
      </w:tabs>
      <w:spacing w:after="240" w:before="240" w:lineRule="auto"/>
      <w:rPr>
        <w:rFonts w:ascii="Helvetica Neue" w:cs="Helvetica Neue" w:eastAsia="Helvetica Neue" w:hAnsi="Helvetica Neue"/>
        <w:b w:val="1"/>
        <w:bCs w:val="1"/>
        <w:color w:val="000000"/>
        <w:sz w:val="18"/>
        <w:szCs w:val="18"/>
      </w:rPr>
    </w:pPr>
    <w:bookmarkStart w:colFirst="0" w:colLast="0" w:name="_heading=h.qj5c7ixcuh2g" w:id="6"/>
    <w:bookmarkEnd w:id="6"/>
    <w:r w:rsidDel="00000000" w:rsidR="00000000" w:rsidRPr="00000000">
      <w:rPr>
        <w:rFonts w:ascii="Helvetica Neue" w:cs="Helvetica Neue" w:eastAsia="Helvetica Neue" w:hAnsi="Helvetica Neue"/>
        <w:b w:val="1"/>
        <w:bCs w:val="1"/>
        <w:color w:val="000000"/>
        <w:sz w:val="18"/>
        <w:szCs w:val="18"/>
        <w:rtl w:val="0"/>
      </w:rPr>
      <w:t xml:space="preserve">10</w:t>
    </w:r>
    <w:r w:rsidDel="00000000" w:rsidR="00000000" w:rsidRPr="00000000">
      <w:rPr>
        <w:rFonts w:ascii="Helvetica Neue" w:cs="Helvetica Neue" w:eastAsia="Helvetica Neue" w:hAnsi="Helvetica Neue"/>
        <w:b w:val="1"/>
        <w:bCs w:val="1"/>
        <w:color w:val="000000"/>
        <w:sz w:val="18"/>
        <w:szCs w:val="18"/>
        <w:vertAlign w:val="superscript"/>
        <w:rtl w:val="0"/>
      </w:rPr>
      <w:t xml:space="preserve">th</w:t>
    </w:r>
    <w:r w:rsidDel="00000000" w:rsidR="00000000" w:rsidRPr="00000000">
      <w:rPr>
        <w:rFonts w:ascii="Helvetica Neue" w:cs="Helvetica Neue" w:eastAsia="Helvetica Neue" w:hAnsi="Helvetica Neue"/>
        <w:b w:val="1"/>
        <w:bCs w:val="1"/>
        <w:color w:val="000000"/>
        <w:sz w:val="18"/>
        <w:szCs w:val="18"/>
        <w:rtl w:val="0"/>
      </w:rPr>
      <w:t xml:space="preserve"> CONFERENCE ON SAFETY ENGINEERING AND ITS APPLICATION                         ISSN No.2581-1770 10 September 2026</w:t>
    </w:r>
  </w:p>
  <w:p w:rsidR="00000000" w:rsidDel="00000000" w:rsidP="00000000" w:rsidRDefault="00000000" w:rsidRPr="00000000" w14:paraId="000000E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09"/>
      </w:pPr>
      <w:rPr/>
    </w:lvl>
    <w:lvl w:ilvl="8">
      <w:start w:val="0"/>
      <w:numFmt w:val="bullet"/>
      <w:lvlText w:val="•"/>
      <w:lvlJc w:val="left"/>
      <w:pPr>
        <w:ind w:left="7832" w:hanging="286"/>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ind w:left="360" w:hanging="360"/>
      <w:jc w:val="center"/>
    </w:pPr>
    <w:rPr>
      <w:b w:val="1"/>
      <w:bCs w:val="1"/>
    </w:rPr>
  </w:style>
  <w:style w:type="paragraph" w:styleId="Heading2">
    <w:name w:val="heading 2"/>
    <w:basedOn w:val="Normal"/>
    <w:next w:val="Normal"/>
    <w:pPr>
      <w:keepNext w:val="1"/>
      <w:keepLines w:val="1"/>
      <w:spacing w:after="80" w:before="160" w:lineRule="auto"/>
      <w:ind w:left="720" w:hanging="360"/>
    </w:pPr>
    <w:rPr>
      <w:b w:val="1"/>
      <w:bCs w:val="1"/>
    </w:rPr>
  </w:style>
  <w:style w:type="paragraph" w:styleId="Heading3">
    <w:name w:val="heading 3"/>
    <w:basedOn w:val="Normal"/>
    <w:next w:val="Normal"/>
    <w:pPr>
      <w:keepNext w:val="1"/>
      <w:keepLines w:val="1"/>
      <w:spacing w:after="80" w:before="160" w:lineRule="auto"/>
      <w:ind w:left="1080" w:hanging="360"/>
    </w:pPr>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BD1AA1"/>
    <w:pPr>
      <w:keepNext w:val="1"/>
      <w:keepLines w:val="1"/>
      <w:spacing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BD1AA1"/>
    <w:pPr>
      <w:keepNext w:val="1"/>
      <w:keepLines w:val="1"/>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D1AA1"/>
    <w:pPr>
      <w:keepNext w:val="1"/>
      <w:keepLines w:val="1"/>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90FCE"/>
    <w:rPr>
      <w:rFonts w:ascii="Times New Roman" w:hAnsi="Times New Roman" w:cstheme="majorBidi" w:eastAsiaTheme="majorEastAsia"/>
      <w:b w:val="1"/>
      <w:sz w:val="24"/>
      <w:szCs w:val="50"/>
    </w:rPr>
  </w:style>
  <w:style w:type="character" w:styleId="Heading2Char" w:customStyle="1">
    <w:name w:val="Heading 2 Char"/>
    <w:basedOn w:val="DefaultParagraphFont"/>
    <w:link w:val="Heading2"/>
    <w:uiPriority w:val="9"/>
    <w:semiHidden w:val="1"/>
    <w:rsid w:val="00B90FCE"/>
    <w:rPr>
      <w:rFonts w:ascii="Times New Roman" w:hAnsi="Times New Roman" w:cstheme="majorBidi" w:eastAsiaTheme="majorEastAsia"/>
      <w:b w:val="1"/>
      <w:sz w:val="24"/>
      <w:szCs w:val="40"/>
    </w:rPr>
  </w:style>
  <w:style w:type="character" w:styleId="Heading3Char" w:customStyle="1">
    <w:name w:val="Heading 3 Char"/>
    <w:basedOn w:val="DefaultParagraphFont"/>
    <w:link w:val="Heading3"/>
    <w:uiPriority w:val="9"/>
    <w:semiHidden w:val="1"/>
    <w:rsid w:val="00B90FCE"/>
    <w:rPr>
      <w:rFonts w:ascii="Times New Roman" w:hAnsi="Times New Roman" w:cstheme="majorBidi" w:eastAsiaTheme="majorEastAsia"/>
      <w:sz w:val="24"/>
      <w:szCs w:val="35"/>
    </w:rPr>
  </w:style>
  <w:style w:type="character" w:styleId="Heading4Char" w:customStyle="1">
    <w:name w:val="Heading 4 Char"/>
    <w:basedOn w:val="DefaultParagraphFont"/>
    <w:link w:val="Heading4"/>
    <w:uiPriority w:val="9"/>
    <w:semiHidden w:val="1"/>
    <w:rsid w:val="00BD1AA1"/>
    <w:rPr>
      <w:rFonts w:cstheme="majorBidi" w:eastAsiaTheme="majorEastAsia"/>
      <w:i w:val="1"/>
      <w:iCs w:val="1"/>
      <w:color w:val="2f5496" w:themeColor="accent1" w:themeShade="0000BF"/>
      <w:sz w:val="24"/>
    </w:rPr>
  </w:style>
  <w:style w:type="character" w:styleId="Heading5Char" w:customStyle="1">
    <w:name w:val="Heading 5 Char"/>
    <w:basedOn w:val="DefaultParagraphFont"/>
    <w:link w:val="Heading5"/>
    <w:uiPriority w:val="9"/>
    <w:semiHidden w:val="1"/>
    <w:rsid w:val="00BD1AA1"/>
    <w:rPr>
      <w:rFonts w:cstheme="majorBidi" w:eastAsiaTheme="majorEastAsia"/>
      <w:color w:val="2f5496" w:themeColor="accent1" w:themeShade="0000BF"/>
      <w:sz w:val="24"/>
    </w:rPr>
  </w:style>
  <w:style w:type="character" w:styleId="Heading6Char" w:customStyle="1">
    <w:name w:val="Heading 6 Char"/>
    <w:basedOn w:val="DefaultParagraphFont"/>
    <w:link w:val="Heading6"/>
    <w:uiPriority w:val="9"/>
    <w:semiHidden w:val="1"/>
    <w:rsid w:val="00BD1AA1"/>
    <w:rPr>
      <w:rFonts w:cstheme="majorBidi" w:eastAsiaTheme="majorEastAsia"/>
      <w:i w:val="1"/>
      <w:iCs w:val="1"/>
      <w:color w:val="595959" w:themeColor="text1" w:themeTint="0000A6"/>
      <w:sz w:val="24"/>
    </w:rPr>
  </w:style>
  <w:style w:type="character" w:styleId="Heading7Char" w:customStyle="1">
    <w:name w:val="Heading 7 Char"/>
    <w:basedOn w:val="DefaultParagraphFont"/>
    <w:link w:val="Heading7"/>
    <w:uiPriority w:val="9"/>
    <w:semiHidden w:val="1"/>
    <w:rsid w:val="00BD1AA1"/>
    <w:rPr>
      <w:rFonts w:cstheme="majorBidi" w:eastAsiaTheme="majorEastAsia"/>
      <w:color w:val="595959" w:themeColor="text1" w:themeTint="0000A6"/>
      <w:sz w:val="24"/>
    </w:rPr>
  </w:style>
  <w:style w:type="character" w:styleId="Heading8Char" w:customStyle="1">
    <w:name w:val="Heading 8 Char"/>
    <w:basedOn w:val="DefaultParagraphFont"/>
    <w:link w:val="Heading8"/>
    <w:uiPriority w:val="9"/>
    <w:semiHidden w:val="1"/>
    <w:rsid w:val="00BD1AA1"/>
    <w:rPr>
      <w:rFonts w:cstheme="majorBidi" w:eastAsiaTheme="majorEastAsia"/>
      <w:i w:val="1"/>
      <w:iCs w:val="1"/>
      <w:color w:val="272727" w:themeColor="text1" w:themeTint="0000D8"/>
      <w:sz w:val="24"/>
    </w:rPr>
  </w:style>
  <w:style w:type="character" w:styleId="Heading9Char" w:customStyle="1">
    <w:name w:val="Heading 9 Char"/>
    <w:basedOn w:val="DefaultParagraphFont"/>
    <w:link w:val="Heading9"/>
    <w:uiPriority w:val="9"/>
    <w:semiHidden w:val="1"/>
    <w:rsid w:val="00BD1AA1"/>
    <w:rPr>
      <w:rFonts w:cstheme="majorBidi" w:eastAsiaTheme="majorEastAsia"/>
      <w:color w:val="272727" w:themeColor="text1" w:themeTint="0000D8"/>
      <w:sz w:val="24"/>
    </w:rPr>
  </w:style>
  <w:style w:type="character" w:styleId="TitleChar" w:customStyle="1">
    <w:name w:val="Title Char"/>
    <w:basedOn w:val="DefaultParagraphFont"/>
    <w:link w:val="Title"/>
    <w:uiPriority w:val="10"/>
    <w:rsid w:val="00BD1AA1"/>
    <w:rPr>
      <w:rFonts w:asciiTheme="majorHAnsi" w:cstheme="majorBidi" w:eastAsiaTheme="majorEastAsia" w:hAnsiTheme="majorHAnsi"/>
      <w:spacing w:val="-10"/>
      <w:kern w:val="28"/>
      <w:sz w:val="56"/>
      <w:szCs w:val="71"/>
    </w:rPr>
  </w:style>
  <w:style w:type="character" w:styleId="SubtitleChar" w:customStyle="1">
    <w:name w:val="Subtitle Char"/>
    <w:basedOn w:val="DefaultParagraphFont"/>
    <w:link w:val="Subtitle"/>
    <w:uiPriority w:val="11"/>
    <w:rsid w:val="00BD1AA1"/>
    <w:rPr>
      <w:rFonts w:cstheme="majorBidi" w:eastAsiaTheme="majorEastAsia"/>
      <w:color w:val="595959" w:themeColor="text1" w:themeTint="0000A6"/>
      <w:spacing w:val="15"/>
      <w:sz w:val="28"/>
      <w:szCs w:val="35"/>
    </w:rPr>
  </w:style>
  <w:style w:type="paragraph" w:styleId="Quote">
    <w:name w:val="Quote"/>
    <w:basedOn w:val="Normal"/>
    <w:next w:val="Normal"/>
    <w:link w:val="QuoteChar"/>
    <w:uiPriority w:val="29"/>
    <w:qFormat w:val="1"/>
    <w:rsid w:val="00BD1AA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D1AA1"/>
    <w:rPr>
      <w:rFonts w:ascii="Times New Roman" w:hAnsi="Times New Roman"/>
      <w:i w:val="1"/>
      <w:iCs w:val="1"/>
      <w:color w:val="404040" w:themeColor="text1" w:themeTint="0000BF"/>
      <w:sz w:val="24"/>
    </w:rPr>
  </w:style>
  <w:style w:type="paragraph" w:styleId="ListParagraph">
    <w:name w:val="List Paragraph"/>
    <w:basedOn w:val="Normal"/>
    <w:uiPriority w:val="34"/>
    <w:qFormat w:val="1"/>
    <w:rsid w:val="00BD1AA1"/>
    <w:pPr>
      <w:ind w:left="720"/>
      <w:contextualSpacing w:val="1"/>
    </w:pPr>
  </w:style>
  <w:style w:type="character" w:styleId="IntenseEmphasis">
    <w:name w:val="Intense Emphasis"/>
    <w:basedOn w:val="DefaultParagraphFont"/>
    <w:uiPriority w:val="21"/>
    <w:qFormat w:val="1"/>
    <w:rsid w:val="00BD1AA1"/>
    <w:rPr>
      <w:i w:val="1"/>
      <w:iCs w:val="1"/>
      <w:color w:val="2f5496" w:themeColor="accent1" w:themeShade="0000BF"/>
    </w:rPr>
  </w:style>
  <w:style w:type="paragraph" w:styleId="IntenseQuote">
    <w:name w:val="Intense Quote"/>
    <w:basedOn w:val="Normal"/>
    <w:next w:val="Normal"/>
    <w:link w:val="IntenseQuoteChar"/>
    <w:uiPriority w:val="30"/>
    <w:qFormat w:val="1"/>
    <w:rsid w:val="00BD1AA1"/>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BD1AA1"/>
    <w:rPr>
      <w:rFonts w:ascii="Times New Roman" w:hAnsi="Times New Roman"/>
      <w:i w:val="1"/>
      <w:iCs w:val="1"/>
      <w:color w:val="2f5496" w:themeColor="accent1" w:themeShade="0000BF"/>
      <w:sz w:val="24"/>
    </w:rPr>
  </w:style>
  <w:style w:type="character" w:styleId="IntenseReference">
    <w:name w:val="Intense Reference"/>
    <w:basedOn w:val="DefaultParagraphFont"/>
    <w:uiPriority w:val="32"/>
    <w:qFormat w:val="1"/>
    <w:rsid w:val="00BD1AA1"/>
    <w:rPr>
      <w:b w:val="1"/>
      <w:bCs w:val="1"/>
      <w:smallCaps w:val="1"/>
      <w:color w:val="2f5496" w:themeColor="accent1" w:themeShade="0000BF"/>
      <w:spacing w:val="5"/>
    </w:rPr>
  </w:style>
  <w:style w:type="table" w:styleId="TableNormal0" w:customStyle="1">
    <w:name w:val="TableNormal"/>
    <w:rsid w:val="00BD1AA1"/>
    <w:pPr>
      <w:widowControl w:val="0"/>
      <w:spacing w:after="0" w:line="240" w:lineRule="auto"/>
    </w:pPr>
    <w:rPr>
      <w:rFonts w:ascii="Times New Roman" w:cs="Times New Roman" w:eastAsia="Times New Roman" w:hAnsi="Times New Roman"/>
      <w:kern w:val="0"/>
      <w:szCs w:val="22"/>
      <w:lang w:bidi="ar-SA" w:val="id"/>
    </w:rPr>
    <w:tblPr>
      <w:tblCellMar>
        <w:top w:w="100.0" w:type="dxa"/>
        <w:left w:w="100.0" w:type="dxa"/>
        <w:bottom w:w="100.0" w:type="dxa"/>
        <w:right w:w="100.0" w:type="dxa"/>
      </w:tblCellMar>
    </w:tblPr>
  </w:style>
  <w:style w:type="character" w:styleId="PlaceholderText">
    <w:name w:val="Placeholder Text"/>
    <w:basedOn w:val="DefaultParagraphFont"/>
    <w:uiPriority w:val="99"/>
    <w:semiHidden w:val="1"/>
    <w:rsid w:val="00BD1AA1"/>
    <w:rPr>
      <w:color w:val="666666"/>
    </w:rPr>
  </w:style>
  <w:style w:type="paragraph" w:styleId="Caption">
    <w:name w:val="caption"/>
    <w:basedOn w:val="Normal"/>
    <w:next w:val="Normal"/>
    <w:uiPriority w:val="35"/>
    <w:unhideWhenUsed w:val="1"/>
    <w:qFormat w:val="1"/>
    <w:rsid w:val="00BD1AA1"/>
    <w:pPr>
      <w:widowControl w:val="1"/>
      <w:spacing w:after="200"/>
      <w:jc w:val="center"/>
    </w:pPr>
    <w:rPr>
      <w:rFonts w:eastAsia="Batang" w:cstheme="minorBidi"/>
      <w:kern w:val="2"/>
      <w:szCs w:val="20"/>
      <w:lang w:bidi="th-TH" w:val="en-US"/>
    </w:rPr>
  </w:style>
  <w:style w:type="table" w:styleId="TableGrid">
    <w:name w:val="Table Grid"/>
    <w:basedOn w:val="TableNormal"/>
    <w:uiPriority w:val="39"/>
    <w:rsid w:val="00BD1AA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chart" Target="charts/chart3.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chart" Target="charts/chart1.xml"/><Relationship Id="rId8" Type="http://schemas.openxmlformats.org/officeDocument/2006/relationships/chart" Target="charts/chart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CambriaMath-regular.tt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https://d.docs.live.net/f49b3da84a9f1082/&#128128;TUGAS%20AKHIR&#128128;/Safety%20Climate/Data%20Perusahaan/Data%20Hazard%20W-1%20%5e0%20W-11.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https://d.docs.live.net/F49B3DA84A9F1082/&#128128;TUGAS%20AKHIR&#128128;/Safety%20Climate/Data%20Perusahaan/Data%20Hazard%20W-1%20%5e0%20W-11.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480" b="0" i="0" u="none" strike="noStrike" kern="1200" spc="0" baseline="0">
                <a:solidFill>
                  <a:sysClr val="windowText" lastClr="000000">
                    <a:lumMod val="65000"/>
                    <a:lumOff val="35000"/>
                  </a:sysClr>
                </a:solidFill>
                <a:latin typeface="+mn-lt"/>
                <a:ea typeface="+mn-ea"/>
                <a:cs typeface="+mn-cs"/>
              </a:defRPr>
            </a:pPr>
            <a:r>
              <a:rPr lang="en-ID" sz="480" b="0" i="0" u="none" strike="noStrike" kern="1200" spc="0" baseline="0">
                <a:solidFill>
                  <a:sysClr val="windowText" lastClr="000000">
                    <a:lumMod val="65000"/>
                    <a:lumOff val="35000"/>
                  </a:sysClr>
                </a:solidFill>
              </a:rPr>
              <a:t>Hazard &amp; Inspection Report Floating Crane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48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Sheet1!$Q$15</c:f>
              <c:strCache>
                <c:ptCount val="1"/>
                <c:pt idx="0">
                  <c:v>Hazard Report</c:v>
                </c:pt>
              </c:strCache>
            </c:strRef>
          </c:tx>
          <c:spPr>
            <a:solidFill>
              <a:schemeClr val="accent3">
                <a:lumMod val="75000"/>
              </a:schemeClr>
            </a:solidFill>
            <a:ln w="3175">
              <a:solidFill>
                <a:schemeClr val="accent3">
                  <a:lumMod val="75000"/>
                </a:schemeClr>
              </a:solidFill>
            </a:ln>
            <a:effectLst/>
          </c:spPr>
          <c:invertIfNegative val="0"/>
          <c:cat>
            <c:multiLvlStrRef>
              <c:f>Sheet1!$R$12:$BE$14</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Sheet1!$R$15:$BE$15</c:f>
              <c:numCache>
                <c:formatCode>General</c:formatCode>
                <c:ptCount val="40"/>
                <c:pt idx="0">
                  <c:v>35</c:v>
                </c:pt>
                <c:pt idx="1">
                  <c:v>19</c:v>
                </c:pt>
                <c:pt idx="2">
                  <c:v>31</c:v>
                </c:pt>
                <c:pt idx="3">
                  <c:v>18</c:v>
                </c:pt>
                <c:pt idx="4">
                  <c:v>19</c:v>
                </c:pt>
                <c:pt idx="5">
                  <c:v>25</c:v>
                </c:pt>
                <c:pt idx="6">
                  <c:v>25</c:v>
                </c:pt>
                <c:pt idx="7">
                  <c:v>39</c:v>
                </c:pt>
                <c:pt idx="8">
                  <c:v>146</c:v>
                </c:pt>
                <c:pt idx="9">
                  <c:v>115</c:v>
                </c:pt>
                <c:pt idx="10">
                  <c:v>154</c:v>
                </c:pt>
                <c:pt idx="11">
                  <c:v>154</c:v>
                </c:pt>
                <c:pt idx="12">
                  <c:v>168</c:v>
                </c:pt>
                <c:pt idx="13">
                  <c:v>157</c:v>
                </c:pt>
                <c:pt idx="14">
                  <c:v>202</c:v>
                </c:pt>
                <c:pt idx="15">
                  <c:v>151</c:v>
                </c:pt>
                <c:pt idx="16">
                  <c:v>195</c:v>
                </c:pt>
                <c:pt idx="17">
                  <c:v>176</c:v>
                </c:pt>
                <c:pt idx="18">
                  <c:v>146</c:v>
                </c:pt>
                <c:pt idx="19">
                  <c:v>158</c:v>
                </c:pt>
                <c:pt idx="20">
                  <c:v>137</c:v>
                </c:pt>
                <c:pt idx="21">
                  <c:v>181</c:v>
                </c:pt>
                <c:pt idx="22">
                  <c:v>214</c:v>
                </c:pt>
                <c:pt idx="23">
                  <c:v>230</c:v>
                </c:pt>
                <c:pt idx="24">
                  <c:v>231</c:v>
                </c:pt>
                <c:pt idx="25">
                  <c:v>233</c:v>
                </c:pt>
                <c:pt idx="26">
                  <c:v>250</c:v>
                </c:pt>
                <c:pt idx="27">
                  <c:v>236</c:v>
                </c:pt>
                <c:pt idx="28">
                  <c:v>245</c:v>
                </c:pt>
                <c:pt idx="29">
                  <c:v>270</c:v>
                </c:pt>
                <c:pt idx="30">
                  <c:v>233</c:v>
                </c:pt>
                <c:pt idx="31">
                  <c:v>236</c:v>
                </c:pt>
                <c:pt idx="32">
                  <c:v>243</c:v>
                </c:pt>
                <c:pt idx="33">
                  <c:v>271</c:v>
                </c:pt>
                <c:pt idx="34">
                  <c:v>245</c:v>
                </c:pt>
                <c:pt idx="35">
                  <c:v>285</c:v>
                </c:pt>
                <c:pt idx="36">
                  <c:v>281</c:v>
                </c:pt>
                <c:pt idx="37">
                  <c:v>271</c:v>
                </c:pt>
                <c:pt idx="38">
                  <c:v>296</c:v>
                </c:pt>
                <c:pt idx="39">
                  <c:v>306</c:v>
                </c:pt>
              </c:numCache>
            </c:numRef>
          </c:val>
          <c:extLst>
            <c:ext xmlns:c16="http://schemas.microsoft.com/office/drawing/2014/chart" uri="{C3380CC4-5D6E-409C-BE32-E72D297353CC}">
              <c16:uniqueId val="{00000000-F25C-40B1-AA92-4F7469B68466}"/>
            </c:ext>
          </c:extLst>
        </c:ser>
        <c:ser>
          <c:idx val="1"/>
          <c:order val="1"/>
          <c:tx>
            <c:strRef>
              <c:f>Sheet1!$Q$16</c:f>
              <c:strCache>
                <c:ptCount val="1"/>
                <c:pt idx="0">
                  <c:v>Inspection Report</c:v>
                </c:pt>
              </c:strCache>
            </c:strRef>
          </c:tx>
          <c:spPr>
            <a:solidFill>
              <a:schemeClr val="accent1">
                <a:lumMod val="40000"/>
                <a:lumOff val="60000"/>
              </a:schemeClr>
            </a:solidFill>
            <a:ln w="3175">
              <a:solidFill>
                <a:schemeClr val="accent1">
                  <a:lumMod val="40000"/>
                  <a:lumOff val="60000"/>
                </a:schemeClr>
              </a:solidFill>
            </a:ln>
            <a:effectLst/>
          </c:spPr>
          <c:invertIfNegative val="0"/>
          <c:cat>
            <c:multiLvlStrRef>
              <c:f>Sheet1!$R$12:$BE$14</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Sheet1!$R$16:$BE$16</c:f>
              <c:numCache>
                <c:formatCode>General</c:formatCode>
                <c:ptCount val="40"/>
                <c:pt idx="0">
                  <c:v>19</c:v>
                </c:pt>
                <c:pt idx="1">
                  <c:v>15</c:v>
                </c:pt>
                <c:pt idx="2">
                  <c:v>17</c:v>
                </c:pt>
                <c:pt idx="3">
                  <c:v>13</c:v>
                </c:pt>
                <c:pt idx="4">
                  <c:v>32</c:v>
                </c:pt>
                <c:pt idx="5">
                  <c:v>34</c:v>
                </c:pt>
                <c:pt idx="6">
                  <c:v>27</c:v>
                </c:pt>
                <c:pt idx="7">
                  <c:v>44</c:v>
                </c:pt>
                <c:pt idx="8">
                  <c:v>59</c:v>
                </c:pt>
                <c:pt idx="9">
                  <c:v>46</c:v>
                </c:pt>
                <c:pt idx="10">
                  <c:v>57</c:v>
                </c:pt>
                <c:pt idx="11">
                  <c:v>43</c:v>
                </c:pt>
                <c:pt idx="12">
                  <c:v>34</c:v>
                </c:pt>
                <c:pt idx="13">
                  <c:v>39</c:v>
                </c:pt>
                <c:pt idx="14">
                  <c:v>63</c:v>
                </c:pt>
                <c:pt idx="15">
                  <c:v>35</c:v>
                </c:pt>
                <c:pt idx="16">
                  <c:v>40</c:v>
                </c:pt>
                <c:pt idx="17">
                  <c:v>57</c:v>
                </c:pt>
                <c:pt idx="18">
                  <c:v>42</c:v>
                </c:pt>
                <c:pt idx="19">
                  <c:v>47</c:v>
                </c:pt>
                <c:pt idx="20">
                  <c:v>37</c:v>
                </c:pt>
                <c:pt idx="21">
                  <c:v>35</c:v>
                </c:pt>
                <c:pt idx="22">
                  <c:v>42</c:v>
                </c:pt>
                <c:pt idx="23">
                  <c:v>37</c:v>
                </c:pt>
                <c:pt idx="24">
                  <c:v>60</c:v>
                </c:pt>
                <c:pt idx="25">
                  <c:v>47</c:v>
                </c:pt>
                <c:pt idx="26">
                  <c:v>50</c:v>
                </c:pt>
                <c:pt idx="27">
                  <c:v>54</c:v>
                </c:pt>
                <c:pt idx="28">
                  <c:v>61</c:v>
                </c:pt>
                <c:pt idx="29">
                  <c:v>55</c:v>
                </c:pt>
                <c:pt idx="30">
                  <c:v>43</c:v>
                </c:pt>
                <c:pt idx="31">
                  <c:v>48</c:v>
                </c:pt>
                <c:pt idx="32">
                  <c:v>57</c:v>
                </c:pt>
                <c:pt idx="33">
                  <c:v>55</c:v>
                </c:pt>
                <c:pt idx="34">
                  <c:v>58</c:v>
                </c:pt>
                <c:pt idx="35">
                  <c:v>61</c:v>
                </c:pt>
                <c:pt idx="36">
                  <c:v>61</c:v>
                </c:pt>
                <c:pt idx="37">
                  <c:v>53</c:v>
                </c:pt>
                <c:pt idx="38">
                  <c:v>66</c:v>
                </c:pt>
                <c:pt idx="39">
                  <c:v>50</c:v>
                </c:pt>
              </c:numCache>
            </c:numRef>
          </c:val>
          <c:extLst>
            <c:ext xmlns:c16="http://schemas.microsoft.com/office/drawing/2014/chart" uri="{C3380CC4-5D6E-409C-BE32-E72D297353CC}">
              <c16:uniqueId val="{00000001-F25C-40B1-AA92-4F7469B68466}"/>
            </c:ext>
          </c:extLst>
        </c:ser>
        <c:dLbls>
          <c:showLegendKey val="0"/>
          <c:showVal val="0"/>
          <c:showCatName val="0"/>
          <c:showSerName val="0"/>
          <c:showPercent val="0"/>
          <c:showBubbleSize val="0"/>
        </c:dLbls>
        <c:gapWidth val="150"/>
        <c:axId val="367164527"/>
        <c:axId val="367167887"/>
      </c:barChart>
      <c:lineChart>
        <c:grouping val="standard"/>
        <c:varyColors val="0"/>
        <c:ser>
          <c:idx val="3"/>
          <c:order val="2"/>
          <c:tx>
            <c:strRef>
              <c:f>Sheet1!$Q$18</c:f>
              <c:strCache>
                <c:ptCount val="1"/>
                <c:pt idx="0">
                  <c:v>TTA</c:v>
                </c:pt>
              </c:strCache>
            </c:strRef>
          </c:tx>
          <c:spPr>
            <a:ln w="6350" cap="rnd">
              <a:solidFill>
                <a:schemeClr val="accent4"/>
              </a:solidFill>
              <a:round/>
            </a:ln>
            <a:effectLst/>
          </c:spPr>
          <c:marker>
            <c:symbol val="none"/>
          </c:marker>
          <c:cat>
            <c:multiLvlStrRef>
              <c:f>Sheet1!$R$12:$BE$14</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Sheet1!$R$18:$BE$18</c:f>
              <c:numCache>
                <c:formatCode>0%</c:formatCode>
                <c:ptCount val="40"/>
                <c:pt idx="0">
                  <c:v>9.2592592592592587E-2</c:v>
                </c:pt>
                <c:pt idx="1">
                  <c:v>0</c:v>
                </c:pt>
                <c:pt idx="2">
                  <c:v>6.25E-2</c:v>
                </c:pt>
                <c:pt idx="3">
                  <c:v>3.2258064516129031E-2</c:v>
                </c:pt>
                <c:pt idx="4">
                  <c:v>7.8431372549019607E-2</c:v>
                </c:pt>
                <c:pt idx="5">
                  <c:v>5.0847457627118647E-2</c:v>
                </c:pt>
                <c:pt idx="6">
                  <c:v>7.6923076923076927E-2</c:v>
                </c:pt>
                <c:pt idx="7">
                  <c:v>4.8192771084337352E-2</c:v>
                </c:pt>
                <c:pt idx="8">
                  <c:v>0.13170731707317074</c:v>
                </c:pt>
                <c:pt idx="9">
                  <c:v>8.6956521739130432E-2</c:v>
                </c:pt>
                <c:pt idx="10">
                  <c:v>0.10900473933649289</c:v>
                </c:pt>
                <c:pt idx="11">
                  <c:v>2.5380710659898477E-2</c:v>
                </c:pt>
                <c:pt idx="12">
                  <c:v>8.9108910891089105E-2</c:v>
                </c:pt>
                <c:pt idx="13">
                  <c:v>7.6530612244897961E-2</c:v>
                </c:pt>
                <c:pt idx="14">
                  <c:v>7.5471698113207544E-2</c:v>
                </c:pt>
                <c:pt idx="15">
                  <c:v>6.4516129032258063E-2</c:v>
                </c:pt>
                <c:pt idx="16">
                  <c:v>7.5949367088607597E-2</c:v>
                </c:pt>
                <c:pt idx="17">
                  <c:v>0.12446351931330472</c:v>
                </c:pt>
                <c:pt idx="18">
                  <c:v>4.7872340425531915E-2</c:v>
                </c:pt>
                <c:pt idx="19">
                  <c:v>6.8292682926829273E-2</c:v>
                </c:pt>
                <c:pt idx="20">
                  <c:v>6.4327485380116955E-2</c:v>
                </c:pt>
                <c:pt idx="21">
                  <c:v>9.2592592592592587E-2</c:v>
                </c:pt>
                <c:pt idx="22">
                  <c:v>0.125</c:v>
                </c:pt>
                <c:pt idx="23">
                  <c:v>7.116104868913857E-2</c:v>
                </c:pt>
                <c:pt idx="24">
                  <c:v>0.14089347079037801</c:v>
                </c:pt>
                <c:pt idx="25">
                  <c:v>0.16370106761565836</c:v>
                </c:pt>
                <c:pt idx="26">
                  <c:v>0.11333333333333333</c:v>
                </c:pt>
                <c:pt idx="27">
                  <c:v>0.1310344827586207</c:v>
                </c:pt>
                <c:pt idx="28">
                  <c:v>0.1111111111111111</c:v>
                </c:pt>
                <c:pt idx="29">
                  <c:v>0.10153846153846154</c:v>
                </c:pt>
                <c:pt idx="30">
                  <c:v>0.10869565217391304</c:v>
                </c:pt>
                <c:pt idx="31">
                  <c:v>0.11619718309859155</c:v>
                </c:pt>
                <c:pt idx="32">
                  <c:v>0.12333333333333334</c:v>
                </c:pt>
                <c:pt idx="33">
                  <c:v>0.10429447852760736</c:v>
                </c:pt>
                <c:pt idx="34">
                  <c:v>9.9009900990099015E-2</c:v>
                </c:pt>
                <c:pt idx="35">
                  <c:v>0.1416184971098266</c:v>
                </c:pt>
                <c:pt idx="36">
                  <c:v>0.11403508771929824</c:v>
                </c:pt>
                <c:pt idx="37">
                  <c:v>0.11419753086419752</c:v>
                </c:pt>
                <c:pt idx="38">
                  <c:v>9.9447513812154692E-2</c:v>
                </c:pt>
                <c:pt idx="39">
                  <c:v>9.269662921348315E-2</c:v>
                </c:pt>
              </c:numCache>
            </c:numRef>
          </c:val>
          <c:smooth val="0"/>
          <c:extLst>
            <c:ext xmlns:c16="http://schemas.microsoft.com/office/drawing/2014/chart" uri="{C3380CC4-5D6E-409C-BE32-E72D297353CC}">
              <c16:uniqueId val="{00000002-F25C-40B1-AA92-4F7469B68466}"/>
            </c:ext>
          </c:extLst>
        </c:ser>
        <c:ser>
          <c:idx val="4"/>
          <c:order val="3"/>
          <c:tx>
            <c:strRef>
              <c:f>Sheet1!$Q$19</c:f>
              <c:strCache>
                <c:ptCount val="1"/>
                <c:pt idx="0">
                  <c:v>KTA</c:v>
                </c:pt>
              </c:strCache>
            </c:strRef>
          </c:tx>
          <c:spPr>
            <a:ln w="6350" cap="rnd">
              <a:solidFill>
                <a:schemeClr val="accent6"/>
              </a:solidFill>
              <a:round/>
            </a:ln>
            <a:effectLst/>
          </c:spPr>
          <c:marker>
            <c:symbol val="none"/>
          </c:marker>
          <c:cat>
            <c:multiLvlStrRef>
              <c:f>Sheet1!$R$12:$BE$14</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Sheet1!$R$19:$BE$19</c:f>
              <c:numCache>
                <c:formatCode>0%</c:formatCode>
                <c:ptCount val="40"/>
                <c:pt idx="0">
                  <c:v>0.90740740740740744</c:v>
                </c:pt>
                <c:pt idx="1">
                  <c:v>1</c:v>
                </c:pt>
                <c:pt idx="2">
                  <c:v>0.9375</c:v>
                </c:pt>
                <c:pt idx="3">
                  <c:v>0.967741935483871</c:v>
                </c:pt>
                <c:pt idx="4">
                  <c:v>0.92156862745098034</c:v>
                </c:pt>
                <c:pt idx="5">
                  <c:v>0.94915254237288138</c:v>
                </c:pt>
                <c:pt idx="6">
                  <c:v>0.92307692307692313</c:v>
                </c:pt>
                <c:pt idx="7">
                  <c:v>0.95180722891566261</c:v>
                </c:pt>
                <c:pt idx="8">
                  <c:v>0.86829268292682926</c:v>
                </c:pt>
                <c:pt idx="9">
                  <c:v>0.91304347826086951</c:v>
                </c:pt>
                <c:pt idx="10">
                  <c:v>0.89099526066350709</c:v>
                </c:pt>
                <c:pt idx="11">
                  <c:v>0.97461928934010156</c:v>
                </c:pt>
                <c:pt idx="12">
                  <c:v>0.91089108910891092</c:v>
                </c:pt>
                <c:pt idx="13">
                  <c:v>0.92346938775510201</c:v>
                </c:pt>
                <c:pt idx="14">
                  <c:v>0.92452830188679247</c:v>
                </c:pt>
                <c:pt idx="15">
                  <c:v>0.93548387096774188</c:v>
                </c:pt>
                <c:pt idx="16">
                  <c:v>0.91983122362869196</c:v>
                </c:pt>
                <c:pt idx="17">
                  <c:v>0.87553648068669532</c:v>
                </c:pt>
                <c:pt idx="18">
                  <c:v>0.9521276595744681</c:v>
                </c:pt>
                <c:pt idx="19">
                  <c:v>0.93170731707317078</c:v>
                </c:pt>
                <c:pt idx="20">
                  <c:v>0.93567251461988299</c:v>
                </c:pt>
                <c:pt idx="21">
                  <c:v>0.90740740740740744</c:v>
                </c:pt>
                <c:pt idx="22">
                  <c:v>0.875</c:v>
                </c:pt>
                <c:pt idx="23">
                  <c:v>0.92883895131086147</c:v>
                </c:pt>
                <c:pt idx="24">
                  <c:v>0.85910652920962194</c:v>
                </c:pt>
                <c:pt idx="25">
                  <c:v>0.83629893238434161</c:v>
                </c:pt>
                <c:pt idx="26">
                  <c:v>0.88666666666666671</c:v>
                </c:pt>
                <c:pt idx="27">
                  <c:v>0.86896551724137927</c:v>
                </c:pt>
                <c:pt idx="28">
                  <c:v>0.88888888888888884</c:v>
                </c:pt>
                <c:pt idx="29">
                  <c:v>0.89846153846153842</c:v>
                </c:pt>
                <c:pt idx="30">
                  <c:v>0.89130434782608692</c:v>
                </c:pt>
                <c:pt idx="31">
                  <c:v>0.88380281690140849</c:v>
                </c:pt>
                <c:pt idx="32">
                  <c:v>0.87666666666666671</c:v>
                </c:pt>
                <c:pt idx="33">
                  <c:v>0.89570552147239269</c:v>
                </c:pt>
                <c:pt idx="34">
                  <c:v>0.90099009900990101</c:v>
                </c:pt>
                <c:pt idx="35">
                  <c:v>0.85838150289017345</c:v>
                </c:pt>
                <c:pt idx="36">
                  <c:v>0.88596491228070173</c:v>
                </c:pt>
                <c:pt idx="37">
                  <c:v>0.88580246913580252</c:v>
                </c:pt>
                <c:pt idx="38">
                  <c:v>0.89779005524861877</c:v>
                </c:pt>
                <c:pt idx="39">
                  <c:v>0.90730337078651691</c:v>
                </c:pt>
              </c:numCache>
            </c:numRef>
          </c:val>
          <c:smooth val="0"/>
          <c:extLst>
            <c:ext xmlns:c16="http://schemas.microsoft.com/office/drawing/2014/chart" uri="{C3380CC4-5D6E-409C-BE32-E72D297353CC}">
              <c16:uniqueId val="{00000003-F25C-40B1-AA92-4F7469B68466}"/>
            </c:ext>
          </c:extLst>
        </c:ser>
        <c:dLbls>
          <c:showLegendKey val="0"/>
          <c:showVal val="0"/>
          <c:showCatName val="0"/>
          <c:showSerName val="0"/>
          <c:showPercent val="0"/>
          <c:showBubbleSize val="0"/>
        </c:dLbls>
        <c:marker val="1"/>
        <c:smooth val="0"/>
        <c:axId val="367154447"/>
        <c:axId val="367166447"/>
      </c:lineChart>
      <c:catAx>
        <c:axId val="367164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367167887"/>
        <c:crosses val="autoZero"/>
        <c:auto val="1"/>
        <c:lblAlgn val="ctr"/>
        <c:lblOffset val="100"/>
        <c:noMultiLvlLbl val="0"/>
      </c:catAx>
      <c:valAx>
        <c:axId val="3671678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ID"/>
                  <a:t>Jumlah</a:t>
                </a:r>
              </a:p>
            </c:rich>
          </c:tx>
          <c:overlay val="0"/>
          <c:spPr>
            <a:noFill/>
            <a:ln>
              <a:noFill/>
            </a:ln>
            <a:effectLst/>
          </c:spPr>
          <c:txPr>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crossAx val="367164527"/>
        <c:crosses val="autoZero"/>
        <c:crossBetween val="between"/>
      </c:valAx>
      <c:valAx>
        <c:axId val="367166447"/>
        <c:scaling>
          <c:orientation val="minMax"/>
          <c:max val="1"/>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crossAx val="367154447"/>
        <c:crosses val="max"/>
        <c:crossBetween val="between"/>
      </c:valAx>
      <c:catAx>
        <c:axId val="367154447"/>
        <c:scaling>
          <c:orientation val="minMax"/>
        </c:scaling>
        <c:delete val="1"/>
        <c:axPos val="b"/>
        <c:numFmt formatCode="General" sourceLinked="1"/>
        <c:majorTickMark val="out"/>
        <c:minorTickMark val="none"/>
        <c:tickLblPos val="nextTo"/>
        <c:crossAx val="367166447"/>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4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480" b="0" i="0" u="none" strike="noStrike" kern="1200" spc="0" baseline="0">
                <a:solidFill>
                  <a:schemeClr val="tx1">
                    <a:lumMod val="65000"/>
                    <a:lumOff val="35000"/>
                  </a:schemeClr>
                </a:solidFill>
                <a:latin typeface="+mn-lt"/>
                <a:ea typeface="+mn-ea"/>
                <a:cs typeface="+mn-cs"/>
              </a:defRPr>
            </a:pPr>
            <a:r>
              <a:rPr lang="en-ID"/>
              <a:t>Hazard &amp; Inspection Report Tugboat</a:t>
            </a:r>
          </a:p>
        </c:rich>
      </c:tx>
      <c:overlay val="0"/>
      <c:spPr>
        <a:noFill/>
        <a:ln>
          <a:noFill/>
        </a:ln>
        <a:effectLst/>
      </c:spPr>
      <c:txPr>
        <a:bodyPr rot="0" spcFirstLastPara="1" vertOverflow="ellipsis" vert="horz" wrap="square" anchor="ctr" anchorCtr="1"/>
        <a:lstStyle/>
        <a:p>
          <a:pPr>
            <a:defRPr sz="4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Hazard W-1 ^0 W-11.xlsx]Sheet1'!$Q$6</c:f>
              <c:strCache>
                <c:ptCount val="1"/>
                <c:pt idx="0">
                  <c:v>Hazard Report</c:v>
                </c:pt>
              </c:strCache>
            </c:strRef>
          </c:tx>
          <c:spPr>
            <a:solidFill>
              <a:schemeClr val="accent3">
                <a:lumMod val="75000"/>
              </a:schemeClr>
            </a:solidFill>
            <a:ln>
              <a:solidFill>
                <a:schemeClr val="accent3">
                  <a:lumMod val="75000"/>
                </a:schemeClr>
              </a:solidFill>
            </a:ln>
            <a:effectLst/>
          </c:spPr>
          <c:invertIfNegative val="0"/>
          <c:cat>
            <c:multiLvlStrRef>
              <c:f>'[Data Hazard W-1 ^0 W-11.xlsx]Sheet1'!$R$3:$BE$5</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'[Data Hazard W-1 ^0 W-11.xlsx]Sheet1'!$R$6:$BE$6</c:f>
              <c:numCache>
                <c:formatCode>General</c:formatCode>
                <c:ptCount val="40"/>
                <c:pt idx="0">
                  <c:v>88</c:v>
                </c:pt>
                <c:pt idx="1">
                  <c:v>137</c:v>
                </c:pt>
                <c:pt idx="2">
                  <c:v>81</c:v>
                </c:pt>
                <c:pt idx="3">
                  <c:v>256</c:v>
                </c:pt>
                <c:pt idx="4">
                  <c:v>203</c:v>
                </c:pt>
                <c:pt idx="5">
                  <c:v>285</c:v>
                </c:pt>
                <c:pt idx="6">
                  <c:v>527</c:v>
                </c:pt>
                <c:pt idx="7">
                  <c:v>569</c:v>
                </c:pt>
                <c:pt idx="8">
                  <c:v>1834</c:v>
                </c:pt>
                <c:pt idx="9">
                  <c:v>1709</c:v>
                </c:pt>
                <c:pt idx="10">
                  <c:v>1696</c:v>
                </c:pt>
                <c:pt idx="11">
                  <c:v>1230</c:v>
                </c:pt>
                <c:pt idx="12">
                  <c:v>877</c:v>
                </c:pt>
                <c:pt idx="13">
                  <c:v>539</c:v>
                </c:pt>
                <c:pt idx="14">
                  <c:v>1164</c:v>
                </c:pt>
                <c:pt idx="15">
                  <c:v>2053</c:v>
                </c:pt>
                <c:pt idx="16">
                  <c:v>1769</c:v>
                </c:pt>
                <c:pt idx="17">
                  <c:v>1189</c:v>
                </c:pt>
                <c:pt idx="18">
                  <c:v>967</c:v>
                </c:pt>
                <c:pt idx="19">
                  <c:v>890</c:v>
                </c:pt>
                <c:pt idx="20">
                  <c:v>857</c:v>
                </c:pt>
                <c:pt idx="21">
                  <c:v>796</c:v>
                </c:pt>
                <c:pt idx="22">
                  <c:v>956</c:v>
                </c:pt>
                <c:pt idx="23">
                  <c:v>1253</c:v>
                </c:pt>
                <c:pt idx="24">
                  <c:v>1278</c:v>
                </c:pt>
                <c:pt idx="25">
                  <c:v>1290</c:v>
                </c:pt>
                <c:pt idx="26">
                  <c:v>1224</c:v>
                </c:pt>
                <c:pt idx="27">
                  <c:v>1825</c:v>
                </c:pt>
                <c:pt idx="28">
                  <c:v>1505</c:v>
                </c:pt>
                <c:pt idx="29">
                  <c:v>1714</c:v>
                </c:pt>
                <c:pt idx="30">
                  <c:v>1635</c:v>
                </c:pt>
                <c:pt idx="31">
                  <c:v>1624</c:v>
                </c:pt>
                <c:pt idx="32">
                  <c:v>1480</c:v>
                </c:pt>
                <c:pt idx="33">
                  <c:v>1828</c:v>
                </c:pt>
                <c:pt idx="34">
                  <c:v>1809</c:v>
                </c:pt>
                <c:pt idx="35">
                  <c:v>1634</c:v>
                </c:pt>
                <c:pt idx="36">
                  <c:v>1659</c:v>
                </c:pt>
                <c:pt idx="37">
                  <c:v>1385</c:v>
                </c:pt>
                <c:pt idx="38">
                  <c:v>1362</c:v>
                </c:pt>
                <c:pt idx="39">
                  <c:v>1449</c:v>
                </c:pt>
              </c:numCache>
            </c:numRef>
          </c:val>
          <c:extLst>
            <c:ext xmlns:c16="http://schemas.microsoft.com/office/drawing/2014/chart" uri="{C3380CC4-5D6E-409C-BE32-E72D297353CC}">
              <c16:uniqueId val="{00000000-7A6D-4B60-8544-C39CD727C397}"/>
            </c:ext>
          </c:extLst>
        </c:ser>
        <c:ser>
          <c:idx val="1"/>
          <c:order val="1"/>
          <c:tx>
            <c:strRef>
              <c:f>'[Data Hazard W-1 ^0 W-11.xlsx]Sheet1'!$Q$7</c:f>
              <c:strCache>
                <c:ptCount val="1"/>
                <c:pt idx="0">
                  <c:v>Inspection Report</c:v>
                </c:pt>
              </c:strCache>
            </c:strRef>
          </c:tx>
          <c:spPr>
            <a:solidFill>
              <a:schemeClr val="accent5">
                <a:lumMod val="60000"/>
                <a:lumOff val="40000"/>
              </a:schemeClr>
            </a:solidFill>
            <a:ln>
              <a:solidFill>
                <a:schemeClr val="accent5">
                  <a:lumMod val="60000"/>
                  <a:lumOff val="40000"/>
                </a:schemeClr>
              </a:solidFill>
            </a:ln>
            <a:effectLst/>
          </c:spPr>
          <c:invertIfNegative val="0"/>
          <c:cat>
            <c:multiLvlStrRef>
              <c:f>'[Data Hazard W-1 ^0 W-11.xlsx]Sheet1'!$R$3:$BE$5</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'[Data Hazard W-1 ^0 W-11.xlsx]Sheet1'!$R$7:$BE$7</c:f>
              <c:numCache>
                <c:formatCode>General</c:formatCode>
                <c:ptCount val="40"/>
                <c:pt idx="0">
                  <c:v>16</c:v>
                </c:pt>
                <c:pt idx="1">
                  <c:v>38</c:v>
                </c:pt>
                <c:pt idx="2">
                  <c:v>22</c:v>
                </c:pt>
                <c:pt idx="3">
                  <c:v>131</c:v>
                </c:pt>
                <c:pt idx="4">
                  <c:v>115</c:v>
                </c:pt>
                <c:pt idx="5">
                  <c:v>104</c:v>
                </c:pt>
                <c:pt idx="6">
                  <c:v>163</c:v>
                </c:pt>
                <c:pt idx="7">
                  <c:v>199</c:v>
                </c:pt>
                <c:pt idx="8">
                  <c:v>454</c:v>
                </c:pt>
                <c:pt idx="9">
                  <c:v>348</c:v>
                </c:pt>
                <c:pt idx="10">
                  <c:v>366</c:v>
                </c:pt>
                <c:pt idx="11">
                  <c:v>282</c:v>
                </c:pt>
                <c:pt idx="12">
                  <c:v>229</c:v>
                </c:pt>
                <c:pt idx="13">
                  <c:v>158</c:v>
                </c:pt>
                <c:pt idx="14">
                  <c:v>260</c:v>
                </c:pt>
                <c:pt idx="15">
                  <c:v>318</c:v>
                </c:pt>
                <c:pt idx="16">
                  <c:v>299</c:v>
                </c:pt>
                <c:pt idx="17">
                  <c:v>300</c:v>
                </c:pt>
                <c:pt idx="18">
                  <c:v>276</c:v>
                </c:pt>
                <c:pt idx="19">
                  <c:v>282</c:v>
                </c:pt>
                <c:pt idx="20">
                  <c:v>251</c:v>
                </c:pt>
                <c:pt idx="21">
                  <c:v>261</c:v>
                </c:pt>
                <c:pt idx="22">
                  <c:v>321</c:v>
                </c:pt>
                <c:pt idx="23">
                  <c:v>366</c:v>
                </c:pt>
                <c:pt idx="24">
                  <c:v>311</c:v>
                </c:pt>
                <c:pt idx="25">
                  <c:v>340</c:v>
                </c:pt>
                <c:pt idx="26">
                  <c:v>354</c:v>
                </c:pt>
                <c:pt idx="27">
                  <c:v>388</c:v>
                </c:pt>
                <c:pt idx="28">
                  <c:v>354</c:v>
                </c:pt>
                <c:pt idx="29">
                  <c:v>344</c:v>
                </c:pt>
                <c:pt idx="30">
                  <c:v>313</c:v>
                </c:pt>
                <c:pt idx="31">
                  <c:v>354</c:v>
                </c:pt>
                <c:pt idx="32">
                  <c:v>411</c:v>
                </c:pt>
                <c:pt idx="33">
                  <c:v>373</c:v>
                </c:pt>
                <c:pt idx="34">
                  <c:v>317</c:v>
                </c:pt>
                <c:pt idx="35">
                  <c:v>245</c:v>
                </c:pt>
                <c:pt idx="36">
                  <c:v>298</c:v>
                </c:pt>
                <c:pt idx="37">
                  <c:v>296</c:v>
                </c:pt>
                <c:pt idx="38">
                  <c:v>271</c:v>
                </c:pt>
                <c:pt idx="39">
                  <c:v>259</c:v>
                </c:pt>
              </c:numCache>
            </c:numRef>
          </c:val>
          <c:extLst>
            <c:ext xmlns:c16="http://schemas.microsoft.com/office/drawing/2014/chart" uri="{C3380CC4-5D6E-409C-BE32-E72D297353CC}">
              <c16:uniqueId val="{00000001-7A6D-4B60-8544-C39CD727C397}"/>
            </c:ext>
          </c:extLst>
        </c:ser>
        <c:dLbls>
          <c:showLegendKey val="0"/>
          <c:showVal val="0"/>
          <c:showCatName val="0"/>
          <c:showSerName val="0"/>
          <c:showPercent val="0"/>
          <c:showBubbleSize val="0"/>
        </c:dLbls>
        <c:gapWidth val="150"/>
        <c:axId val="2002107055"/>
        <c:axId val="2002108495"/>
      </c:barChart>
      <c:lineChart>
        <c:grouping val="standard"/>
        <c:varyColors val="0"/>
        <c:ser>
          <c:idx val="3"/>
          <c:order val="2"/>
          <c:tx>
            <c:strRef>
              <c:f>'[Data Hazard W-1 ^0 W-11.xlsx]Sheet1'!$Q$9</c:f>
              <c:strCache>
                <c:ptCount val="1"/>
                <c:pt idx="0">
                  <c:v>TTA</c:v>
                </c:pt>
              </c:strCache>
            </c:strRef>
          </c:tx>
          <c:spPr>
            <a:ln w="6350" cap="rnd">
              <a:solidFill>
                <a:schemeClr val="accent4"/>
              </a:solidFill>
              <a:round/>
            </a:ln>
            <a:effectLst/>
          </c:spPr>
          <c:marker>
            <c:symbol val="none"/>
          </c:marker>
          <c:cat>
            <c:multiLvlStrRef>
              <c:f>'[Data Hazard W-1 ^0 W-11.xlsx]Sheet1'!$R$3:$BE$5</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'[Data Hazard W-1 ^0 W-11.xlsx]Sheet1'!$R$9:$BE$9</c:f>
              <c:numCache>
                <c:formatCode>0%</c:formatCode>
                <c:ptCount val="40"/>
                <c:pt idx="0">
                  <c:v>9.6153846153846159E-2</c:v>
                </c:pt>
                <c:pt idx="1">
                  <c:v>0.23428571428571429</c:v>
                </c:pt>
                <c:pt idx="2">
                  <c:v>0.17475728155339806</c:v>
                </c:pt>
                <c:pt idx="3">
                  <c:v>0.1111111111111111</c:v>
                </c:pt>
                <c:pt idx="4">
                  <c:v>0.16981132075471697</c:v>
                </c:pt>
                <c:pt idx="5">
                  <c:v>0.11825192802056556</c:v>
                </c:pt>
                <c:pt idx="6">
                  <c:v>0.12028985507246377</c:v>
                </c:pt>
                <c:pt idx="7">
                  <c:v>0.17317708333333334</c:v>
                </c:pt>
                <c:pt idx="8">
                  <c:v>0.21022727272727273</c:v>
                </c:pt>
                <c:pt idx="9">
                  <c:v>0.11521633446767136</c:v>
                </c:pt>
                <c:pt idx="10">
                  <c:v>0.12754607177497576</c:v>
                </c:pt>
                <c:pt idx="11">
                  <c:v>0.18187830687830689</c:v>
                </c:pt>
                <c:pt idx="12">
                  <c:v>0.15009041591320071</c:v>
                </c:pt>
                <c:pt idx="13">
                  <c:v>0.15208034433285508</c:v>
                </c:pt>
                <c:pt idx="14">
                  <c:v>0.16292134831460675</c:v>
                </c:pt>
                <c:pt idx="15">
                  <c:v>0.24884015183466893</c:v>
                </c:pt>
                <c:pt idx="16">
                  <c:v>0.23887814313346228</c:v>
                </c:pt>
                <c:pt idx="17">
                  <c:v>0.23908663532572197</c:v>
                </c:pt>
                <c:pt idx="18">
                  <c:v>0.20997586484312147</c:v>
                </c:pt>
                <c:pt idx="19">
                  <c:v>0.18344709897610922</c:v>
                </c:pt>
                <c:pt idx="20">
                  <c:v>0.15252707581227437</c:v>
                </c:pt>
                <c:pt idx="21">
                  <c:v>0.16934720908230841</c:v>
                </c:pt>
                <c:pt idx="22">
                  <c:v>0.23257635082223962</c:v>
                </c:pt>
                <c:pt idx="23">
                  <c:v>0.20012353304508956</c:v>
                </c:pt>
                <c:pt idx="24">
                  <c:v>0.15355569540591568</c:v>
                </c:pt>
                <c:pt idx="25">
                  <c:v>0.19570552147239265</c:v>
                </c:pt>
                <c:pt idx="26">
                  <c:v>0.23827629911280102</c:v>
                </c:pt>
                <c:pt idx="27">
                  <c:v>0.23542702214188885</c:v>
                </c:pt>
                <c:pt idx="28">
                  <c:v>0.20118343195266272</c:v>
                </c:pt>
                <c:pt idx="29">
                  <c:v>0.26141885325558795</c:v>
                </c:pt>
                <c:pt idx="30">
                  <c:v>0.19250513347022588</c:v>
                </c:pt>
                <c:pt idx="31">
                  <c:v>0.22194135490394337</c:v>
                </c:pt>
                <c:pt idx="32">
                  <c:v>0.20571126388154415</c:v>
                </c:pt>
                <c:pt idx="33">
                  <c:v>0.26215356656065425</c:v>
                </c:pt>
                <c:pt idx="34">
                  <c:v>0.22107243650047037</c:v>
                </c:pt>
                <c:pt idx="35">
                  <c:v>0.28632251197445452</c:v>
                </c:pt>
                <c:pt idx="36">
                  <c:v>0.24731732243229432</c:v>
                </c:pt>
                <c:pt idx="37">
                  <c:v>0.16656751933372993</c:v>
                </c:pt>
                <c:pt idx="38">
                  <c:v>0.18003674219228413</c:v>
                </c:pt>
                <c:pt idx="39">
                  <c:v>0.22599531615925059</c:v>
                </c:pt>
              </c:numCache>
            </c:numRef>
          </c:val>
          <c:smooth val="0"/>
          <c:extLst>
            <c:ext xmlns:c16="http://schemas.microsoft.com/office/drawing/2014/chart" uri="{C3380CC4-5D6E-409C-BE32-E72D297353CC}">
              <c16:uniqueId val="{00000002-7A6D-4B60-8544-C39CD727C397}"/>
            </c:ext>
          </c:extLst>
        </c:ser>
        <c:ser>
          <c:idx val="4"/>
          <c:order val="3"/>
          <c:tx>
            <c:strRef>
              <c:f>'[Data Hazard W-1 ^0 W-11.xlsx]Sheet1'!$Q$10</c:f>
              <c:strCache>
                <c:ptCount val="1"/>
                <c:pt idx="0">
                  <c:v>KTA</c:v>
                </c:pt>
              </c:strCache>
            </c:strRef>
          </c:tx>
          <c:spPr>
            <a:ln w="6350" cap="rnd">
              <a:solidFill>
                <a:schemeClr val="accent6"/>
              </a:solidFill>
              <a:round/>
            </a:ln>
            <a:effectLst/>
          </c:spPr>
          <c:marker>
            <c:symbol val="none"/>
          </c:marker>
          <c:cat>
            <c:multiLvlStrRef>
              <c:f>'[Data Hazard W-1 ^0 W-11.xlsx]Sheet1'!$R$3:$BE$5</c:f>
              <c:multiLvlStrCache>
                <c:ptCount val="40"/>
                <c:lvl>
                  <c:pt idx="0">
                    <c:v>W-1</c:v>
                  </c:pt>
                  <c:pt idx="1">
                    <c:v>W-2</c:v>
                  </c:pt>
                  <c:pt idx="2">
                    <c:v>W-3</c:v>
                  </c:pt>
                  <c:pt idx="3">
                    <c:v>W-4</c:v>
                  </c:pt>
                  <c:pt idx="4">
                    <c:v>W-5</c:v>
                  </c:pt>
                  <c:pt idx="5">
                    <c:v>W-6</c:v>
                  </c:pt>
                  <c:pt idx="6">
                    <c:v>W-7</c:v>
                  </c:pt>
                  <c:pt idx="7">
                    <c:v>W-8</c:v>
                  </c:pt>
                  <c:pt idx="8">
                    <c:v>W-9</c:v>
                  </c:pt>
                  <c:pt idx="9">
                    <c:v>W-10</c:v>
                  </c:pt>
                  <c:pt idx="10">
                    <c:v>W-11</c:v>
                  </c:pt>
                  <c:pt idx="11">
                    <c:v>W-12</c:v>
                  </c:pt>
                  <c:pt idx="12">
                    <c:v>W-13</c:v>
                  </c:pt>
                  <c:pt idx="13">
                    <c:v>W-14</c:v>
                  </c:pt>
                  <c:pt idx="14">
                    <c:v>W-15</c:v>
                  </c:pt>
                  <c:pt idx="15">
                    <c:v>W-16</c:v>
                  </c:pt>
                  <c:pt idx="16">
                    <c:v>W-17</c:v>
                  </c:pt>
                  <c:pt idx="17">
                    <c:v>W-18</c:v>
                  </c:pt>
                  <c:pt idx="18">
                    <c:v>W-19</c:v>
                  </c:pt>
                  <c:pt idx="19">
                    <c:v>W-20</c:v>
                  </c:pt>
                  <c:pt idx="20">
                    <c:v>W-21</c:v>
                  </c:pt>
                  <c:pt idx="21">
                    <c:v>W-22</c:v>
                  </c:pt>
                  <c:pt idx="22">
                    <c:v>W-23</c:v>
                  </c:pt>
                  <c:pt idx="23">
                    <c:v>W-24</c:v>
                  </c:pt>
                  <c:pt idx="24">
                    <c:v>W-25</c:v>
                  </c:pt>
                  <c:pt idx="25">
                    <c:v>W-26</c:v>
                  </c:pt>
                  <c:pt idx="26">
                    <c:v>W-27</c:v>
                  </c:pt>
                  <c:pt idx="27">
                    <c:v>W-28</c:v>
                  </c:pt>
                  <c:pt idx="28">
                    <c:v>W-29</c:v>
                  </c:pt>
                  <c:pt idx="29">
                    <c:v>W-30</c:v>
                  </c:pt>
                  <c:pt idx="30">
                    <c:v>W-31</c:v>
                  </c:pt>
                  <c:pt idx="31">
                    <c:v>W-32</c:v>
                  </c:pt>
                  <c:pt idx="32">
                    <c:v>W-33</c:v>
                  </c:pt>
                  <c:pt idx="33">
                    <c:v>W-34</c:v>
                  </c:pt>
                  <c:pt idx="34">
                    <c:v>W-35</c:v>
                  </c:pt>
                  <c:pt idx="35">
                    <c:v>W-36</c:v>
                  </c:pt>
                  <c:pt idx="36">
                    <c:v>W-37</c:v>
                  </c:pt>
                  <c:pt idx="37">
                    <c:v>W-38</c:v>
                  </c:pt>
                  <c:pt idx="38">
                    <c:v>W-39</c:v>
                  </c:pt>
                  <c:pt idx="39">
                    <c:v>W-40</c:v>
                  </c:pt>
                </c:lvl>
                <c:lvl>
                  <c:pt idx="0">
                    <c:v>Pre Gamification</c:v>
                  </c:pt>
                  <c:pt idx="6">
                    <c:v>Post Gamification</c:v>
                  </c:pt>
                </c:lvl>
              </c:multiLvlStrCache>
            </c:multiLvlStrRef>
          </c:cat>
          <c:val>
            <c:numRef>
              <c:f>'[Data Hazard W-1 ^0 W-11.xlsx]Sheet1'!$R$10:$BE$10</c:f>
              <c:numCache>
                <c:formatCode>0%</c:formatCode>
                <c:ptCount val="40"/>
                <c:pt idx="0">
                  <c:v>0.90384615384615385</c:v>
                </c:pt>
                <c:pt idx="1">
                  <c:v>0.76571428571428568</c:v>
                </c:pt>
                <c:pt idx="2">
                  <c:v>0.82524271844660191</c:v>
                </c:pt>
                <c:pt idx="3">
                  <c:v>0.88888888888888884</c:v>
                </c:pt>
                <c:pt idx="4">
                  <c:v>0.83018867924528306</c:v>
                </c:pt>
                <c:pt idx="5">
                  <c:v>0.8817480719794345</c:v>
                </c:pt>
                <c:pt idx="6">
                  <c:v>0.87971014492753619</c:v>
                </c:pt>
                <c:pt idx="7">
                  <c:v>0.82682291666666663</c:v>
                </c:pt>
                <c:pt idx="8">
                  <c:v>0.78977272727272729</c:v>
                </c:pt>
                <c:pt idx="9">
                  <c:v>0.88478366553232868</c:v>
                </c:pt>
                <c:pt idx="10">
                  <c:v>0.87245392822502421</c:v>
                </c:pt>
                <c:pt idx="11">
                  <c:v>0.81812169312169314</c:v>
                </c:pt>
                <c:pt idx="12">
                  <c:v>0.84990958408679929</c:v>
                </c:pt>
                <c:pt idx="13">
                  <c:v>0.84791965566714489</c:v>
                </c:pt>
                <c:pt idx="14">
                  <c:v>0.8370786516853933</c:v>
                </c:pt>
                <c:pt idx="15">
                  <c:v>0.7511598481653311</c:v>
                </c:pt>
                <c:pt idx="16">
                  <c:v>0.76112185686653777</c:v>
                </c:pt>
                <c:pt idx="17">
                  <c:v>0.76091336467427806</c:v>
                </c:pt>
                <c:pt idx="18">
                  <c:v>0.79002413515687853</c:v>
                </c:pt>
                <c:pt idx="19">
                  <c:v>0.81655290102389078</c:v>
                </c:pt>
                <c:pt idx="20">
                  <c:v>0.84747292418772568</c:v>
                </c:pt>
                <c:pt idx="21">
                  <c:v>0.83065279091769162</c:v>
                </c:pt>
                <c:pt idx="22">
                  <c:v>0.7674236491777604</c:v>
                </c:pt>
                <c:pt idx="23">
                  <c:v>0.79987646695491044</c:v>
                </c:pt>
                <c:pt idx="24">
                  <c:v>0.84644430459408437</c:v>
                </c:pt>
                <c:pt idx="25">
                  <c:v>0.80429447852760738</c:v>
                </c:pt>
                <c:pt idx="26">
                  <c:v>0.76172370088719898</c:v>
                </c:pt>
                <c:pt idx="27">
                  <c:v>0.76457297785811118</c:v>
                </c:pt>
                <c:pt idx="28">
                  <c:v>0.79881656804733725</c:v>
                </c:pt>
                <c:pt idx="29">
                  <c:v>0.738581146744412</c:v>
                </c:pt>
                <c:pt idx="30">
                  <c:v>0.80749486652977409</c:v>
                </c:pt>
                <c:pt idx="31">
                  <c:v>0.7780586450960566</c:v>
                </c:pt>
                <c:pt idx="32">
                  <c:v>0.79428873611845585</c:v>
                </c:pt>
                <c:pt idx="33">
                  <c:v>0.73784643343934575</c:v>
                </c:pt>
                <c:pt idx="34">
                  <c:v>0.77892756349952963</c:v>
                </c:pt>
                <c:pt idx="35">
                  <c:v>0.71367748802554554</c:v>
                </c:pt>
                <c:pt idx="36">
                  <c:v>0.75268267756770568</c:v>
                </c:pt>
                <c:pt idx="37">
                  <c:v>0.83343248066627007</c:v>
                </c:pt>
                <c:pt idx="38">
                  <c:v>0.81996325780771584</c:v>
                </c:pt>
                <c:pt idx="39">
                  <c:v>0.77400468384074939</c:v>
                </c:pt>
              </c:numCache>
            </c:numRef>
          </c:val>
          <c:smooth val="0"/>
          <c:extLst>
            <c:ext xmlns:c16="http://schemas.microsoft.com/office/drawing/2014/chart" uri="{C3380CC4-5D6E-409C-BE32-E72D297353CC}">
              <c16:uniqueId val="{00000003-7A6D-4B60-8544-C39CD727C397}"/>
            </c:ext>
          </c:extLst>
        </c:ser>
        <c:dLbls>
          <c:showLegendKey val="0"/>
          <c:showVal val="0"/>
          <c:showCatName val="0"/>
          <c:showSerName val="0"/>
          <c:showPercent val="0"/>
          <c:showBubbleSize val="0"/>
        </c:dLbls>
        <c:marker val="1"/>
        <c:smooth val="0"/>
        <c:axId val="2002101295"/>
        <c:axId val="2002112335"/>
      </c:lineChart>
      <c:catAx>
        <c:axId val="2002107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crossAx val="2002108495"/>
        <c:crosses val="autoZero"/>
        <c:auto val="1"/>
        <c:lblAlgn val="ctr"/>
        <c:lblOffset val="100"/>
        <c:noMultiLvlLbl val="0"/>
      </c:catAx>
      <c:valAx>
        <c:axId val="20021084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r>
                  <a:rPr lang="en-ID"/>
                  <a:t>Jumlah</a:t>
                </a:r>
              </a:p>
            </c:rich>
          </c:tx>
          <c:overlay val="0"/>
          <c:spPr>
            <a:noFill/>
            <a:ln>
              <a:noFill/>
            </a:ln>
            <a:effectLst/>
          </c:spPr>
          <c:txPr>
            <a:bodyPr rot="-54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crossAx val="2002107055"/>
        <c:crosses val="autoZero"/>
        <c:crossBetween val="between"/>
      </c:valAx>
      <c:valAx>
        <c:axId val="2002112335"/>
        <c:scaling>
          <c:orientation val="minMax"/>
          <c:max val="1"/>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crossAx val="2002101295"/>
        <c:crosses val="max"/>
        <c:crossBetween val="between"/>
      </c:valAx>
      <c:catAx>
        <c:axId val="2002101295"/>
        <c:scaling>
          <c:orientation val="minMax"/>
        </c:scaling>
        <c:delete val="1"/>
        <c:axPos val="b"/>
        <c:numFmt formatCode="General" sourceLinked="1"/>
        <c:majorTickMark val="out"/>
        <c:minorTickMark val="none"/>
        <c:tickLblPos val="nextTo"/>
        <c:crossAx val="2002112335"/>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lumMod val="15000"/>
          <a:lumOff val="85000"/>
        </a:schemeClr>
      </a:solidFill>
      <a:round/>
    </a:ln>
    <a:effectLst/>
  </c:spPr>
  <c:txPr>
    <a:bodyPr/>
    <a:lstStyle/>
    <a:p>
      <a:pPr>
        <a:defRPr sz="4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Sheet1!$H$3</c:f>
              <c:strCache>
                <c:ptCount val="1"/>
                <c:pt idx="0">
                  <c:v>Rata-rata per dimensi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88900" cap="flat" cmpd="sng" algn="ctr">
              <a:solidFill>
                <a:schemeClr val="tx2">
                  <a:lumMod val="60000"/>
                  <a:lumOff val="40000"/>
                </a:schemeClr>
              </a:solidFill>
              <a:prstDash val="solid"/>
              <a:round/>
            </a:ln>
            <a:effectLst/>
          </c:spPr>
          <c:dLbls>
            <c:dLbl>
              <c:idx val="0"/>
              <c:layout>
                <c:manualLayout>
                  <c:x val="-0.21600176327970025"/>
                  <c:y val="4.354711005542359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33C-44B4-AB2F-0ED77E06BAC7}"/>
                </c:ext>
              </c:extLst>
            </c:dLbl>
            <c:dLbl>
              <c:idx val="4"/>
              <c:layout>
                <c:manualLayout>
                  <c:x val="9.6980383513334809E-2"/>
                  <c:y val="-0.1148060174188440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3C-44B4-AB2F-0ED77E06BAC7}"/>
                </c:ext>
              </c:extLst>
            </c:dLbl>
            <c:dLbl>
              <c:idx val="8"/>
              <c:layout>
                <c:manualLayout>
                  <c:x val="0.18514436852545735"/>
                  <c:y val="-0.1464766429136975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33C-44B4-AB2F-0ED77E06BAC7}"/>
                </c:ext>
              </c:extLst>
            </c:dLbl>
            <c:dLbl>
              <c:idx val="12"/>
              <c:layout>
                <c:manualLayout>
                  <c:x val="-0.22481816178091249"/>
                  <c:y val="-9.105304829770402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3C-44B4-AB2F-0ED77E06BAC7}"/>
                </c:ext>
              </c:extLst>
            </c:dLbl>
            <c:dLbl>
              <c:idx val="16"/>
              <c:layout>
                <c:manualLayout>
                  <c:x val="-0.11020498126515318"/>
                  <c:y val="-5.938242280285039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33C-44B4-AB2F-0ED77E06BAC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Sheet1!$D$4:$D$23</c:f>
              <c:strCache>
                <c:ptCount val="17"/>
                <c:pt idx="0">
                  <c:v>Intrisic Safety Motivatiom</c:v>
                </c:pt>
                <c:pt idx="4">
                  <c:v>Identified Safety Motivation</c:v>
                </c:pt>
                <c:pt idx="8">
                  <c:v>Introjected Safety Motivation</c:v>
                </c:pt>
                <c:pt idx="12">
                  <c:v>External Safety Motivation</c:v>
                </c:pt>
                <c:pt idx="16">
                  <c:v>Amotivation</c:v>
                </c:pt>
              </c:strCache>
            </c:strRef>
          </c:cat>
          <c:val>
            <c:numRef>
              <c:f>Sheet1!$H$4:$H$23</c:f>
              <c:numCache>
                <c:formatCode>General</c:formatCode>
                <c:ptCount val="20"/>
                <c:pt idx="0">
                  <c:v>4.6072499999999996</c:v>
                </c:pt>
                <c:pt idx="4">
                  <c:v>4.6807499999999997</c:v>
                </c:pt>
                <c:pt idx="8">
                  <c:v>4.5622499999999997</c:v>
                </c:pt>
                <c:pt idx="12">
                  <c:v>3.698</c:v>
                </c:pt>
                <c:pt idx="16">
                  <c:v>4.2672499999999998</c:v>
                </c:pt>
              </c:numCache>
            </c:numRef>
          </c:val>
          <c:extLst>
            <c:ext xmlns:c16="http://schemas.microsoft.com/office/drawing/2014/chart" uri="{C3380CC4-5D6E-409C-BE32-E72D297353CC}">
              <c16:uniqueId val="{00000005-933C-44B4-AB2F-0ED77E06BAC7}"/>
            </c:ext>
          </c:extLst>
        </c:ser>
        <c:dLbls>
          <c:showLegendKey val="0"/>
          <c:showVal val="0"/>
          <c:showCatName val="0"/>
          <c:showSerName val="0"/>
          <c:showPercent val="0"/>
          <c:showBubbleSize val="0"/>
        </c:dLbls>
        <c:axId val="813711295"/>
        <c:axId val="813709855"/>
      </c:radarChart>
      <c:catAx>
        <c:axId val="813711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813709855"/>
        <c:crosses val="autoZero"/>
        <c:auto val="1"/>
        <c:lblAlgn val="ctr"/>
        <c:lblOffset val="100"/>
        <c:noMultiLvlLbl val="0"/>
      </c:catAx>
      <c:valAx>
        <c:axId val="813709855"/>
        <c:scaling>
          <c:orientation val="minMax"/>
        </c:scaling>
        <c:delete val="1"/>
        <c:axPos val="l"/>
        <c:majorGridlines>
          <c:spPr>
            <a:ln w="34925" cap="flat" cmpd="sng" algn="ctr">
              <a:solidFill>
                <a:schemeClr val="tx1">
                  <a:lumMod val="15000"/>
                  <a:lumOff val="85000"/>
                </a:schemeClr>
              </a:solidFill>
              <a:round/>
            </a:ln>
            <a:effectLst/>
          </c:spPr>
        </c:majorGridlines>
        <c:numFmt formatCode="General" sourceLinked="1"/>
        <c:majorTickMark val="none"/>
        <c:minorTickMark val="none"/>
        <c:tickLblPos val="nextTo"/>
        <c:crossAx val="8137112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aiBTxxGuGPtKM+PaK4QrvScd2w==">CgMxLjAyCGguZ2pkZ3hzMg9pZC4xaWczZGdscDFyencyD2lkLjkwM3dzMzNicjgyMjIOaC5ndWo0YmNoZ3gzeHUyD2lkLmFqZDIya2gxY255MjIPaWQuNXN3a3R2bnNpMG9tMg5oLnFqNWM3aXhjdWgyZzgAciExV0Y4QXhoRDh1VGZVYXhwcncxRDh4TEpVV3Y0eTREVXI=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2026-06-25T15:08:00Z</dcterms:created>
  <dc:creator>Reggina Arifin</dc:creator>
</cp:coreProperties>
</file>