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2" w:lineRule="auto" w:before="82"/>
        <w:ind w:left="10" w:right="9" w:firstLine="0"/>
        <w:jc w:val="center"/>
        <w:rPr>
          <w:b/>
          <w:sz w:val="28"/>
        </w:rPr>
      </w:pPr>
      <w:r>
        <w:rPr>
          <w:b/>
          <w:i/>
          <w:sz w:val="28"/>
        </w:rPr>
        <w:t>Fire</w:t>
      </w:r>
      <w:r>
        <w:rPr>
          <w:b/>
          <w:i/>
          <w:spacing w:val="-4"/>
          <w:sz w:val="28"/>
        </w:rPr>
        <w:t> </w:t>
      </w:r>
      <w:r>
        <w:rPr>
          <w:b/>
          <w:i/>
          <w:sz w:val="28"/>
        </w:rPr>
        <w:t>Risk</w:t>
      </w:r>
      <w:r>
        <w:rPr>
          <w:b/>
          <w:i/>
          <w:spacing w:val="-4"/>
          <w:sz w:val="28"/>
        </w:rPr>
        <w:t> </w:t>
      </w:r>
      <w:r>
        <w:rPr>
          <w:b/>
          <w:i/>
          <w:sz w:val="28"/>
        </w:rPr>
        <w:t>Assessment </w:t>
      </w:r>
      <w:r>
        <w:rPr>
          <w:b/>
          <w:sz w:val="28"/>
        </w:rPr>
        <w:t>dan</w:t>
      </w:r>
      <w:r>
        <w:rPr>
          <w:b/>
          <w:spacing w:val="-6"/>
          <w:sz w:val="28"/>
        </w:rPr>
        <w:t> </w:t>
      </w:r>
      <w:r>
        <w:rPr>
          <w:b/>
          <w:sz w:val="28"/>
        </w:rPr>
        <w:t>Perancangan</w:t>
      </w:r>
      <w:r>
        <w:rPr>
          <w:b/>
          <w:spacing w:val="-4"/>
          <w:sz w:val="28"/>
        </w:rPr>
        <w:t> </w:t>
      </w:r>
      <w:r>
        <w:rPr>
          <w:b/>
          <w:i/>
          <w:sz w:val="28"/>
        </w:rPr>
        <w:t>Water</w:t>
      </w:r>
      <w:r>
        <w:rPr>
          <w:b/>
          <w:i/>
          <w:spacing w:val="-3"/>
          <w:sz w:val="28"/>
        </w:rPr>
        <w:t> </w:t>
      </w:r>
      <w:r>
        <w:rPr>
          <w:b/>
          <w:i/>
          <w:sz w:val="28"/>
        </w:rPr>
        <w:t>Spray</w:t>
      </w:r>
      <w:r>
        <w:rPr>
          <w:b/>
          <w:i/>
          <w:spacing w:val="-4"/>
          <w:sz w:val="28"/>
        </w:rPr>
        <w:t> </w:t>
      </w:r>
      <w:r>
        <w:rPr>
          <w:b/>
          <w:i/>
          <w:sz w:val="28"/>
        </w:rPr>
        <w:t>System </w:t>
      </w:r>
      <w:r>
        <w:rPr>
          <w:b/>
          <w:sz w:val="28"/>
        </w:rPr>
        <w:t>untuk</w:t>
      </w:r>
      <w:r>
        <w:rPr>
          <w:b/>
          <w:spacing w:val="-6"/>
          <w:sz w:val="28"/>
        </w:rPr>
        <w:t> </w:t>
      </w:r>
      <w:r>
        <w:rPr>
          <w:b/>
          <w:sz w:val="28"/>
        </w:rPr>
        <w:t>Proteksi Tangki TK-725 dan TK-756 Industri Kimia</w:t>
      </w:r>
    </w:p>
    <w:p>
      <w:pPr>
        <w:pStyle w:val="BodyText"/>
        <w:spacing w:before="90"/>
        <w:ind w:left="0"/>
        <w:rPr>
          <w:b/>
          <w:sz w:val="28"/>
        </w:rPr>
      </w:pPr>
    </w:p>
    <w:p>
      <w:pPr>
        <w:pStyle w:val="Heading1"/>
        <w:rPr>
          <w:b w:val="0"/>
          <w:position w:val="7"/>
          <w:sz w:val="14"/>
        </w:rPr>
      </w:pPr>
      <w:r>
        <w:rPr/>
        <w:t>Anggita</w:t>
      </w:r>
      <w:r>
        <w:rPr>
          <w:spacing w:val="-2"/>
        </w:rPr>
        <w:t> </w:t>
      </w:r>
      <w:r>
        <w:rPr/>
        <w:t>Puspa</w:t>
      </w:r>
      <w:r>
        <w:rPr>
          <w:spacing w:val="-1"/>
        </w:rPr>
        <w:t> </w:t>
      </w:r>
      <w:r>
        <w:rPr/>
        <w:t>Wardhani</w:t>
      </w:r>
      <w:r>
        <w:rPr>
          <w:b w:val="0"/>
          <w:position w:val="7"/>
          <w:sz w:val="14"/>
        </w:rPr>
        <w:t>1</w:t>
      </w:r>
      <w:r>
        <w:rPr/>
        <w:t>,</w:t>
      </w:r>
      <w:r>
        <w:rPr>
          <w:spacing w:val="-1"/>
        </w:rPr>
        <w:t> </w:t>
      </w:r>
      <w:r>
        <w:rPr/>
        <w:t>Moch.</w:t>
      </w:r>
      <w:r>
        <w:rPr>
          <w:spacing w:val="-1"/>
        </w:rPr>
        <w:t> </w:t>
      </w:r>
      <w:r>
        <w:rPr/>
        <w:t>Luqman Ashari</w:t>
      </w:r>
      <w:r>
        <w:rPr>
          <w:b w:val="0"/>
          <w:position w:val="7"/>
          <w:sz w:val="14"/>
        </w:rPr>
        <w:t>2</w:t>
      </w:r>
      <w:r>
        <w:rPr>
          <w:b w:val="0"/>
          <w:spacing w:val="24"/>
          <w:position w:val="7"/>
          <w:sz w:val="14"/>
        </w:rPr>
        <w:t> </w:t>
      </w:r>
      <w:r>
        <w:rPr/>
        <w:t>dan Agung</w:t>
      </w:r>
      <w:r>
        <w:rPr>
          <w:spacing w:val="-7"/>
        </w:rPr>
        <w:t> </w:t>
      </w:r>
      <w:r>
        <w:rPr>
          <w:spacing w:val="-2"/>
        </w:rPr>
        <w:t>Nugroho</w:t>
      </w:r>
      <w:r>
        <w:rPr>
          <w:b w:val="0"/>
          <w:spacing w:val="-2"/>
          <w:position w:val="7"/>
          <w:sz w:val="14"/>
        </w:rPr>
        <w:t>3</w:t>
      </w:r>
    </w:p>
    <w:p>
      <w:pPr>
        <w:pStyle w:val="BodyText"/>
        <w:ind w:left="5" w:right="9"/>
        <w:jc w:val="center"/>
      </w:pPr>
      <w:r>
        <w:rPr>
          <w:vertAlign w:val="superscript"/>
        </w:rPr>
        <w:t>1,2,3</w:t>
      </w:r>
      <w:r>
        <w:rPr>
          <w:vertAlign w:val="baseline"/>
        </w:rPr>
        <w:t>Program</w:t>
      </w:r>
      <w:r>
        <w:rPr>
          <w:spacing w:val="-4"/>
          <w:vertAlign w:val="baseline"/>
        </w:rPr>
        <w:t> </w:t>
      </w:r>
      <w:r>
        <w:rPr>
          <w:vertAlign w:val="baseline"/>
        </w:rPr>
        <w:t>Studi</w:t>
      </w:r>
      <w:r>
        <w:rPr>
          <w:spacing w:val="-4"/>
          <w:vertAlign w:val="baseline"/>
        </w:rPr>
        <w:t> </w:t>
      </w:r>
      <w:r>
        <w:rPr>
          <w:vertAlign w:val="baseline"/>
        </w:rPr>
        <w:t>Teknik</w:t>
      </w:r>
      <w:r>
        <w:rPr>
          <w:spacing w:val="-3"/>
          <w:vertAlign w:val="baseline"/>
        </w:rPr>
        <w:t> </w:t>
      </w:r>
      <w:r>
        <w:rPr>
          <w:vertAlign w:val="baseline"/>
        </w:rPr>
        <w:t>Keselamatan</w:t>
      </w:r>
      <w:r>
        <w:rPr>
          <w:spacing w:val="-3"/>
          <w:vertAlign w:val="baseline"/>
        </w:rPr>
        <w:t> </w:t>
      </w:r>
      <w:r>
        <w:rPr>
          <w:vertAlign w:val="baseline"/>
        </w:rPr>
        <w:t>dan</w:t>
      </w:r>
      <w:r>
        <w:rPr>
          <w:spacing w:val="-3"/>
          <w:vertAlign w:val="baseline"/>
        </w:rPr>
        <w:t> </w:t>
      </w:r>
      <w:r>
        <w:rPr>
          <w:vertAlign w:val="baseline"/>
        </w:rPr>
        <w:t>Kesehatan</w:t>
      </w:r>
      <w:r>
        <w:rPr>
          <w:spacing w:val="-3"/>
          <w:vertAlign w:val="baseline"/>
        </w:rPr>
        <w:t> </w:t>
      </w:r>
      <w:r>
        <w:rPr>
          <w:vertAlign w:val="baseline"/>
        </w:rPr>
        <w:t>Kerja,</w:t>
      </w:r>
      <w:r>
        <w:rPr>
          <w:spacing w:val="-3"/>
          <w:vertAlign w:val="baseline"/>
        </w:rPr>
        <w:t> </w:t>
      </w:r>
      <w:r>
        <w:rPr>
          <w:vertAlign w:val="baseline"/>
        </w:rPr>
        <w:t>Jurusan</w:t>
      </w:r>
      <w:r>
        <w:rPr>
          <w:spacing w:val="-3"/>
          <w:vertAlign w:val="baseline"/>
        </w:rPr>
        <w:t> </w:t>
      </w:r>
      <w:r>
        <w:rPr>
          <w:vertAlign w:val="baseline"/>
        </w:rPr>
        <w:t>Teknik</w:t>
      </w:r>
      <w:r>
        <w:rPr>
          <w:spacing w:val="-3"/>
          <w:vertAlign w:val="baseline"/>
        </w:rPr>
        <w:t> </w:t>
      </w:r>
      <w:r>
        <w:rPr>
          <w:vertAlign w:val="baseline"/>
        </w:rPr>
        <w:t>Permesinan</w:t>
      </w:r>
      <w:r>
        <w:rPr>
          <w:spacing w:val="-8"/>
          <w:vertAlign w:val="baseline"/>
        </w:rPr>
        <w:t> </w:t>
      </w:r>
      <w:r>
        <w:rPr>
          <w:vertAlign w:val="baseline"/>
        </w:rPr>
        <w:t>Kapal,</w:t>
      </w:r>
      <w:r>
        <w:rPr>
          <w:spacing w:val="-4"/>
          <w:vertAlign w:val="baseline"/>
        </w:rPr>
        <w:t> </w:t>
      </w:r>
      <w:r>
        <w:rPr>
          <w:vertAlign w:val="baseline"/>
        </w:rPr>
        <w:t>Politeknik Perkapalan Negeri Surabaya, Surabaya 60111</w:t>
      </w:r>
    </w:p>
    <w:p>
      <w:pPr>
        <w:spacing w:before="219"/>
        <w:ind w:left="8" w:right="9" w:firstLine="0"/>
        <w:jc w:val="center"/>
        <w:rPr>
          <w:sz w:val="22"/>
        </w:rPr>
      </w:pPr>
      <w:r>
        <w:rPr>
          <w:i/>
          <w:sz w:val="20"/>
        </w:rPr>
        <w:t>E-mail</w:t>
      </w:r>
      <w:r>
        <w:rPr>
          <w:sz w:val="20"/>
        </w:rPr>
        <w:t>:</w:t>
      </w:r>
      <w:r>
        <w:rPr>
          <w:spacing w:val="-7"/>
          <w:sz w:val="20"/>
        </w:rPr>
        <w:t> </w:t>
      </w:r>
      <w:hyperlink r:id="rId6">
        <w:r>
          <w:rPr>
            <w:color w:val="0000FF"/>
            <w:spacing w:val="-2"/>
            <w:sz w:val="22"/>
            <w:u w:val="single" w:color="0000FF"/>
          </w:rPr>
          <w:t>ashari.luqman@ppns.ac.id</w:t>
        </w:r>
      </w:hyperlink>
    </w:p>
    <w:p>
      <w:pPr>
        <w:pStyle w:val="BodyText"/>
        <w:spacing w:before="47"/>
        <w:ind w:left="0"/>
      </w:pPr>
    </w:p>
    <w:p>
      <w:pPr>
        <w:pStyle w:val="Heading2"/>
        <w:ind w:left="3" w:firstLine="0"/>
        <w:jc w:val="center"/>
      </w:pPr>
      <w:r>
        <w:rPr>
          <w:spacing w:val="-2"/>
        </w:rPr>
        <w:t>Abstrak</w:t>
      </w:r>
    </w:p>
    <w:p>
      <w:pPr>
        <w:pStyle w:val="BodyText"/>
        <w:spacing w:before="200"/>
        <w:ind w:right="136"/>
        <w:jc w:val="both"/>
      </w:pPr>
      <w:r>
        <w:rPr/>
        <w:t>Fasilitas penyimpanan cairan mudah terbakar memiliki potensi risiko kebakaran yang tinggi akibat adanya uap mudah</w:t>
      </w:r>
      <w:r>
        <w:rPr>
          <w:spacing w:val="-9"/>
        </w:rPr>
        <w:t> </w:t>
      </w:r>
      <w:r>
        <w:rPr/>
        <w:t>terbakar,</w:t>
      </w:r>
      <w:r>
        <w:rPr>
          <w:spacing w:val="-8"/>
        </w:rPr>
        <w:t> </w:t>
      </w:r>
      <w:r>
        <w:rPr/>
        <w:t>sumber</w:t>
      </w:r>
      <w:r>
        <w:rPr>
          <w:spacing w:val="-10"/>
        </w:rPr>
        <w:t> </w:t>
      </w:r>
      <w:r>
        <w:rPr/>
        <w:t>penyalaan,</w:t>
      </w:r>
      <w:r>
        <w:rPr>
          <w:spacing w:val="-13"/>
        </w:rPr>
        <w:t> </w:t>
      </w:r>
      <w:r>
        <w:rPr/>
        <w:t>serta</w:t>
      </w:r>
      <w:r>
        <w:rPr>
          <w:spacing w:val="-12"/>
        </w:rPr>
        <w:t> </w:t>
      </w:r>
      <w:r>
        <w:rPr/>
        <w:t>kemungkinan</w:t>
      </w:r>
      <w:r>
        <w:rPr>
          <w:spacing w:val="-8"/>
        </w:rPr>
        <w:t> </w:t>
      </w:r>
      <w:r>
        <w:rPr/>
        <w:t>terjadinya</w:t>
      </w:r>
      <w:r>
        <w:rPr>
          <w:spacing w:val="-7"/>
        </w:rPr>
        <w:t> </w:t>
      </w:r>
      <w:r>
        <w:rPr/>
        <w:t>efek</w:t>
      </w:r>
      <w:r>
        <w:rPr>
          <w:spacing w:val="-8"/>
        </w:rPr>
        <w:t> </w:t>
      </w:r>
      <w:r>
        <w:rPr/>
        <w:t>domino</w:t>
      </w:r>
      <w:r>
        <w:rPr>
          <w:spacing w:val="-8"/>
        </w:rPr>
        <w:t> </w:t>
      </w:r>
      <w:r>
        <w:rPr/>
        <w:t>yang</w:t>
      </w:r>
      <w:r>
        <w:rPr>
          <w:spacing w:val="-8"/>
        </w:rPr>
        <w:t> </w:t>
      </w:r>
      <w:r>
        <w:rPr/>
        <w:t>dapat</w:t>
      </w:r>
      <w:r>
        <w:rPr>
          <w:spacing w:val="-13"/>
        </w:rPr>
        <w:t> </w:t>
      </w:r>
      <w:r>
        <w:rPr/>
        <w:t>menyebabkan</w:t>
      </w:r>
      <w:r>
        <w:rPr>
          <w:spacing w:val="-8"/>
        </w:rPr>
        <w:t> </w:t>
      </w:r>
      <w:r>
        <w:rPr/>
        <w:t>kerugian material, gangguan operasional, kerusakan lingkungan, dan korban jiwa. Salah satu area yang memiliki potensi risiko tersebut adalah tangki penyimpanan isobutanol (IBA) TK-725 dan TK-726 di Perusahaan Kimia Gresik yang</w:t>
      </w:r>
      <w:r>
        <w:rPr>
          <w:spacing w:val="-12"/>
        </w:rPr>
        <w:t> </w:t>
      </w:r>
      <w:r>
        <w:rPr/>
        <w:t>saat</w:t>
      </w:r>
      <w:r>
        <w:rPr>
          <w:spacing w:val="-13"/>
        </w:rPr>
        <w:t> </w:t>
      </w:r>
      <w:r>
        <w:rPr/>
        <w:t>ini</w:t>
      </w:r>
      <w:r>
        <w:rPr>
          <w:spacing w:val="-12"/>
        </w:rPr>
        <w:t> </w:t>
      </w:r>
      <w:r>
        <w:rPr/>
        <w:t>hanya</w:t>
      </w:r>
      <w:r>
        <w:rPr>
          <w:spacing w:val="-11"/>
        </w:rPr>
        <w:t> </w:t>
      </w:r>
      <w:r>
        <w:rPr/>
        <w:t>dilengkapi</w:t>
      </w:r>
      <w:r>
        <w:rPr>
          <w:spacing w:val="-13"/>
        </w:rPr>
        <w:t> </w:t>
      </w:r>
      <w:r>
        <w:rPr/>
        <w:t>dengan</w:t>
      </w:r>
      <w:r>
        <w:rPr>
          <w:spacing w:val="-11"/>
        </w:rPr>
        <w:t> </w:t>
      </w:r>
      <w:r>
        <w:rPr/>
        <w:t>foam</w:t>
      </w:r>
      <w:r>
        <w:rPr>
          <w:spacing w:val="-13"/>
        </w:rPr>
        <w:t> </w:t>
      </w:r>
      <w:r>
        <w:rPr/>
        <w:t>chamber</w:t>
      </w:r>
      <w:r>
        <w:rPr>
          <w:spacing w:val="-12"/>
        </w:rPr>
        <w:t> </w:t>
      </w:r>
      <w:r>
        <w:rPr/>
        <w:t>dan</w:t>
      </w:r>
      <w:r>
        <w:rPr>
          <w:spacing w:val="-12"/>
        </w:rPr>
        <w:t> </w:t>
      </w:r>
      <w:r>
        <w:rPr/>
        <w:t>jaringan</w:t>
      </w:r>
      <w:r>
        <w:rPr>
          <w:spacing w:val="-12"/>
        </w:rPr>
        <w:t> </w:t>
      </w:r>
      <w:r>
        <w:rPr/>
        <w:t>hidran</w:t>
      </w:r>
      <w:r>
        <w:rPr>
          <w:spacing w:val="-12"/>
        </w:rPr>
        <w:t> </w:t>
      </w:r>
      <w:r>
        <w:rPr/>
        <w:t>tanpa</w:t>
      </w:r>
      <w:r>
        <w:rPr>
          <w:spacing w:val="-11"/>
        </w:rPr>
        <w:t> </w:t>
      </w:r>
      <w:r>
        <w:rPr/>
        <w:t>sistem</w:t>
      </w:r>
      <w:r>
        <w:rPr>
          <w:spacing w:val="-6"/>
        </w:rPr>
        <w:t> </w:t>
      </w:r>
      <w:r>
        <w:rPr/>
        <w:t>pendingin</w:t>
      </w:r>
      <w:r>
        <w:rPr>
          <w:spacing w:val="-12"/>
        </w:rPr>
        <w:t> </w:t>
      </w:r>
      <w:r>
        <w:rPr/>
        <w:t>tangki.</w:t>
      </w:r>
      <w:r>
        <w:rPr>
          <w:spacing w:val="-12"/>
        </w:rPr>
        <w:t> </w:t>
      </w:r>
      <w:r>
        <w:rPr/>
        <w:t>Penelitian ini bertujuan untuk menganalisis risiko kebakaran pada tangki penyimpanan isobutanol serta merancang water spray system sebagai upaya mitigasi risiko dan perlindungan terhadap paparan radiasi termal saat terjadi kebakaran. Metode yang digunakan meliputi Fire Risk Assessment (FRA) dengan pendekatan kualitatif berdasarkan</w:t>
      </w:r>
      <w:r>
        <w:rPr>
          <w:spacing w:val="-4"/>
        </w:rPr>
        <w:t> </w:t>
      </w:r>
      <w:r>
        <w:rPr/>
        <w:t>metode</w:t>
      </w:r>
      <w:r>
        <w:rPr>
          <w:spacing w:val="-7"/>
        </w:rPr>
        <w:t> </w:t>
      </w:r>
      <w:r>
        <w:rPr/>
        <w:t>Yung</w:t>
      </w:r>
      <w:r>
        <w:rPr>
          <w:spacing w:val="-4"/>
        </w:rPr>
        <w:t> </w:t>
      </w:r>
      <w:r>
        <w:rPr/>
        <w:t>(2008)</w:t>
      </w:r>
      <w:r>
        <w:rPr>
          <w:spacing w:val="-6"/>
        </w:rPr>
        <w:t> </w:t>
      </w:r>
      <w:r>
        <w:rPr/>
        <w:t>untuk</w:t>
      </w:r>
      <w:r>
        <w:rPr>
          <w:spacing w:val="-4"/>
        </w:rPr>
        <w:t> </w:t>
      </w:r>
      <w:r>
        <w:rPr/>
        <w:t>mengidentifikasi</w:t>
      </w:r>
      <w:r>
        <w:rPr>
          <w:spacing w:val="-5"/>
        </w:rPr>
        <w:t> </w:t>
      </w:r>
      <w:r>
        <w:rPr/>
        <w:t>bahaya,</w:t>
      </w:r>
      <w:r>
        <w:rPr>
          <w:spacing w:val="-4"/>
        </w:rPr>
        <w:t> </w:t>
      </w:r>
      <w:r>
        <w:rPr/>
        <w:t>menganalisis</w:t>
      </w:r>
      <w:r>
        <w:rPr>
          <w:spacing w:val="-3"/>
        </w:rPr>
        <w:t> </w:t>
      </w:r>
      <w:r>
        <w:rPr/>
        <w:t>tingkat</w:t>
      </w:r>
      <w:r>
        <w:rPr>
          <w:spacing w:val="-5"/>
        </w:rPr>
        <w:t> </w:t>
      </w:r>
      <w:r>
        <w:rPr/>
        <w:t>kemungkinan</w:t>
      </w:r>
      <w:r>
        <w:rPr>
          <w:spacing w:val="-4"/>
        </w:rPr>
        <w:t> </w:t>
      </w:r>
      <w:r>
        <w:rPr/>
        <w:t>(likelihood) dan keparahan (severity), serta menentukan tingkat risiko menggunakan matriks risiko. Hasil analisis risiko digunakan sebagai dasar perancangan water spray system yang mengacu pada standar proteksi kebakaran yang berlaku. Hasil penelitian menunjukkan bahwa skenario tumpahan cairan akibat overfilling saat pengisian tangki memiliki</w:t>
      </w:r>
      <w:r>
        <w:rPr>
          <w:spacing w:val="-13"/>
        </w:rPr>
        <w:t> </w:t>
      </w:r>
      <w:r>
        <w:rPr/>
        <w:t>tingkat</w:t>
      </w:r>
      <w:r>
        <w:rPr>
          <w:spacing w:val="-12"/>
        </w:rPr>
        <w:t> </w:t>
      </w:r>
      <w:r>
        <w:rPr/>
        <w:t>risiko</w:t>
      </w:r>
      <w:r>
        <w:rPr>
          <w:spacing w:val="-13"/>
        </w:rPr>
        <w:t> </w:t>
      </w:r>
      <w:r>
        <w:rPr/>
        <w:t>awal</w:t>
      </w:r>
      <w:r>
        <w:rPr>
          <w:spacing w:val="-12"/>
        </w:rPr>
        <w:t> </w:t>
      </w:r>
      <w:r>
        <w:rPr/>
        <w:t>Moderate</w:t>
      </w:r>
      <w:r>
        <w:rPr>
          <w:spacing w:val="-13"/>
        </w:rPr>
        <w:t> </w:t>
      </w:r>
      <w:r>
        <w:rPr/>
        <w:t>to</w:t>
      </w:r>
      <w:r>
        <w:rPr>
          <w:spacing w:val="-12"/>
        </w:rPr>
        <w:t> </w:t>
      </w:r>
      <w:r>
        <w:rPr/>
        <w:t>High</w:t>
      </w:r>
      <w:r>
        <w:rPr>
          <w:spacing w:val="-13"/>
        </w:rPr>
        <w:t> </w:t>
      </w:r>
      <w:r>
        <w:rPr/>
        <w:t>dengan</w:t>
      </w:r>
      <w:r>
        <w:rPr>
          <w:spacing w:val="-12"/>
        </w:rPr>
        <w:t> </w:t>
      </w:r>
      <w:r>
        <w:rPr/>
        <w:t>tingkat</w:t>
      </w:r>
      <w:r>
        <w:rPr>
          <w:spacing w:val="-13"/>
        </w:rPr>
        <w:t> </w:t>
      </w:r>
      <w:r>
        <w:rPr/>
        <w:t>kemungkinan</w:t>
      </w:r>
      <w:r>
        <w:rPr>
          <w:spacing w:val="-12"/>
        </w:rPr>
        <w:t> </w:t>
      </w:r>
      <w:r>
        <w:rPr/>
        <w:t>kejadian</w:t>
      </w:r>
      <w:r>
        <w:rPr>
          <w:spacing w:val="-13"/>
        </w:rPr>
        <w:t> </w:t>
      </w:r>
      <w:r>
        <w:rPr/>
        <w:t>mungkin</w:t>
      </w:r>
      <w:r>
        <w:rPr>
          <w:spacing w:val="-12"/>
        </w:rPr>
        <w:t> </w:t>
      </w:r>
      <w:r>
        <w:rPr/>
        <w:t>dan</w:t>
      </w:r>
      <w:r>
        <w:rPr>
          <w:spacing w:val="-13"/>
        </w:rPr>
        <w:t> </w:t>
      </w:r>
      <w:r>
        <w:rPr/>
        <w:t>tingkat</w:t>
      </w:r>
      <w:r>
        <w:rPr>
          <w:spacing w:val="-12"/>
        </w:rPr>
        <w:t> </w:t>
      </w:r>
      <w:r>
        <w:rPr/>
        <w:t>dampak tinggi. Penerapan water spray system direkomendasikan sebagai pengendalian tambahan dan terbukti mampu menurunkan tingkat konsekuensi dari kategori tinggi menjadi sedang sehingga tingkat risiko menurun menjadi Moderate. Hasil perancangan menunjukkan kebutuhan air untuk satu tangki sebesar 306,6 m³, sedangkan total kebutuhan air untuk dua tangki mencapai 613,368 m³. Sistem yang dirancang diharapkan mampu memberikan pendinginan yang memadai pada permukaan tangki, mengurangi dampak radiasi panas, mencegah kegagalan struktur, serta meminimalkan potensi penyebaran kebakaran ke fasilitas di sekitarnya.</w:t>
      </w:r>
    </w:p>
    <w:p>
      <w:pPr>
        <w:pStyle w:val="BodyText"/>
        <w:spacing w:before="1"/>
        <w:ind w:left="0"/>
      </w:pPr>
    </w:p>
    <w:p>
      <w:pPr>
        <w:spacing w:before="1"/>
        <w:ind w:left="141" w:right="0" w:firstLine="0"/>
        <w:jc w:val="both"/>
        <w:rPr>
          <w:i/>
          <w:sz w:val="20"/>
        </w:rPr>
      </w:pPr>
      <w:r>
        <w:rPr>
          <w:b/>
          <w:sz w:val="20"/>
        </w:rPr>
        <w:t>Kata</w:t>
      </w:r>
      <w:r>
        <w:rPr>
          <w:b/>
          <w:spacing w:val="-5"/>
          <w:sz w:val="20"/>
        </w:rPr>
        <w:t> </w:t>
      </w:r>
      <w:r>
        <w:rPr>
          <w:b/>
          <w:sz w:val="20"/>
        </w:rPr>
        <w:t>Kunci</w:t>
      </w:r>
      <w:r>
        <w:rPr>
          <w:b/>
          <w:i/>
          <w:sz w:val="20"/>
        </w:rPr>
        <w:t>: </w:t>
      </w:r>
      <w:r>
        <w:rPr>
          <w:i/>
          <w:sz w:val="20"/>
        </w:rPr>
        <w:t>Fire</w:t>
      </w:r>
      <w:r>
        <w:rPr>
          <w:i/>
          <w:spacing w:val="-2"/>
          <w:sz w:val="20"/>
        </w:rPr>
        <w:t> </w:t>
      </w:r>
      <w:r>
        <w:rPr>
          <w:i/>
          <w:sz w:val="20"/>
        </w:rPr>
        <w:t>Risk</w:t>
      </w:r>
      <w:r>
        <w:rPr>
          <w:i/>
          <w:spacing w:val="-2"/>
          <w:sz w:val="20"/>
        </w:rPr>
        <w:t> </w:t>
      </w:r>
      <w:r>
        <w:rPr>
          <w:i/>
          <w:sz w:val="20"/>
        </w:rPr>
        <w:t>Assessment, </w:t>
      </w:r>
      <w:r>
        <w:rPr>
          <w:sz w:val="20"/>
        </w:rPr>
        <w:t>Tangki,</w:t>
      </w:r>
      <w:r>
        <w:rPr>
          <w:spacing w:val="-3"/>
          <w:sz w:val="20"/>
        </w:rPr>
        <w:t> </w:t>
      </w:r>
      <w:r>
        <w:rPr>
          <w:i/>
          <w:sz w:val="20"/>
        </w:rPr>
        <w:t>Water</w:t>
      </w:r>
      <w:r>
        <w:rPr>
          <w:i/>
          <w:spacing w:val="-1"/>
          <w:sz w:val="20"/>
        </w:rPr>
        <w:t> </w:t>
      </w:r>
      <w:r>
        <w:rPr>
          <w:i/>
          <w:spacing w:val="-4"/>
          <w:sz w:val="20"/>
        </w:rPr>
        <w:t>Spray</w:t>
      </w:r>
    </w:p>
    <w:p>
      <w:pPr>
        <w:pStyle w:val="Heading2"/>
        <w:spacing w:before="115"/>
        <w:ind w:left="8" w:right="9" w:firstLine="0"/>
        <w:jc w:val="center"/>
      </w:pPr>
      <w:r>
        <w:rPr>
          <w:spacing w:val="-2"/>
        </w:rPr>
        <w:t>Abstract</w:t>
      </w:r>
    </w:p>
    <w:p>
      <w:pPr>
        <w:pStyle w:val="BodyText"/>
        <w:ind w:left="0"/>
        <w:rPr>
          <w:b/>
        </w:rPr>
      </w:pPr>
    </w:p>
    <w:p>
      <w:pPr>
        <w:pStyle w:val="BodyText"/>
        <w:spacing w:before="4"/>
        <w:ind w:left="0"/>
        <w:rPr>
          <w:b/>
        </w:rPr>
      </w:pPr>
    </w:p>
    <w:p>
      <w:pPr>
        <w:spacing w:before="1"/>
        <w:ind w:left="141" w:right="133" w:firstLine="0"/>
        <w:jc w:val="both"/>
        <w:rPr>
          <w:i/>
          <w:sz w:val="20"/>
        </w:rPr>
      </w:pPr>
      <w:r>
        <w:rPr>
          <w:i/>
          <w:sz w:val="20"/>
        </w:rPr>
        <w:t>Storage</w:t>
      </w:r>
      <w:r>
        <w:rPr>
          <w:i/>
          <w:spacing w:val="-6"/>
          <w:sz w:val="20"/>
        </w:rPr>
        <w:t> </w:t>
      </w:r>
      <w:r>
        <w:rPr>
          <w:i/>
          <w:sz w:val="20"/>
        </w:rPr>
        <w:t>facilities</w:t>
      </w:r>
      <w:r>
        <w:rPr>
          <w:i/>
          <w:spacing w:val="-6"/>
          <w:sz w:val="20"/>
        </w:rPr>
        <w:t> </w:t>
      </w:r>
      <w:r>
        <w:rPr>
          <w:i/>
          <w:sz w:val="20"/>
        </w:rPr>
        <w:t>for</w:t>
      </w:r>
      <w:r>
        <w:rPr>
          <w:i/>
          <w:spacing w:val="-6"/>
          <w:sz w:val="20"/>
        </w:rPr>
        <w:t> </w:t>
      </w:r>
      <w:r>
        <w:rPr>
          <w:i/>
          <w:sz w:val="20"/>
        </w:rPr>
        <w:t>flammable</w:t>
      </w:r>
      <w:r>
        <w:rPr>
          <w:i/>
          <w:spacing w:val="-6"/>
          <w:sz w:val="20"/>
        </w:rPr>
        <w:t> </w:t>
      </w:r>
      <w:r>
        <w:rPr>
          <w:i/>
          <w:sz w:val="20"/>
        </w:rPr>
        <w:t>liquids</w:t>
      </w:r>
      <w:r>
        <w:rPr>
          <w:i/>
          <w:spacing w:val="-6"/>
          <w:sz w:val="20"/>
        </w:rPr>
        <w:t> </w:t>
      </w:r>
      <w:r>
        <w:rPr>
          <w:i/>
          <w:sz w:val="20"/>
        </w:rPr>
        <w:t>present</w:t>
      </w:r>
      <w:r>
        <w:rPr>
          <w:i/>
          <w:spacing w:val="-8"/>
          <w:sz w:val="20"/>
        </w:rPr>
        <w:t> </w:t>
      </w:r>
      <w:r>
        <w:rPr>
          <w:i/>
          <w:sz w:val="20"/>
        </w:rPr>
        <w:t>a</w:t>
      </w:r>
      <w:r>
        <w:rPr>
          <w:i/>
          <w:spacing w:val="-7"/>
          <w:sz w:val="20"/>
        </w:rPr>
        <w:t> </w:t>
      </w:r>
      <w:r>
        <w:rPr>
          <w:i/>
          <w:sz w:val="20"/>
        </w:rPr>
        <w:t>high</w:t>
      </w:r>
      <w:r>
        <w:rPr>
          <w:i/>
          <w:spacing w:val="-7"/>
          <w:sz w:val="20"/>
        </w:rPr>
        <w:t> </w:t>
      </w:r>
      <w:r>
        <w:rPr>
          <w:i/>
          <w:sz w:val="20"/>
        </w:rPr>
        <w:t>fire</w:t>
      </w:r>
      <w:r>
        <w:rPr>
          <w:i/>
          <w:spacing w:val="-6"/>
          <w:sz w:val="20"/>
        </w:rPr>
        <w:t> </w:t>
      </w:r>
      <w:r>
        <w:rPr>
          <w:i/>
          <w:sz w:val="20"/>
        </w:rPr>
        <w:t>risk</w:t>
      </w:r>
      <w:r>
        <w:rPr>
          <w:i/>
          <w:spacing w:val="-6"/>
          <w:sz w:val="20"/>
        </w:rPr>
        <w:t> </w:t>
      </w:r>
      <w:r>
        <w:rPr>
          <w:i/>
          <w:sz w:val="20"/>
        </w:rPr>
        <w:t>due</w:t>
      </w:r>
      <w:r>
        <w:rPr>
          <w:i/>
          <w:spacing w:val="-6"/>
          <w:sz w:val="20"/>
        </w:rPr>
        <w:t> </w:t>
      </w:r>
      <w:r>
        <w:rPr>
          <w:i/>
          <w:sz w:val="20"/>
        </w:rPr>
        <w:t>to</w:t>
      </w:r>
      <w:r>
        <w:rPr>
          <w:i/>
          <w:spacing w:val="-8"/>
          <w:sz w:val="20"/>
        </w:rPr>
        <w:t> </w:t>
      </w:r>
      <w:r>
        <w:rPr>
          <w:i/>
          <w:sz w:val="20"/>
        </w:rPr>
        <w:t>the</w:t>
      </w:r>
      <w:r>
        <w:rPr>
          <w:i/>
          <w:spacing w:val="-6"/>
          <w:sz w:val="20"/>
        </w:rPr>
        <w:t> </w:t>
      </w:r>
      <w:r>
        <w:rPr>
          <w:i/>
          <w:sz w:val="20"/>
        </w:rPr>
        <w:t>presence</w:t>
      </w:r>
      <w:r>
        <w:rPr>
          <w:i/>
          <w:spacing w:val="-6"/>
          <w:sz w:val="20"/>
        </w:rPr>
        <w:t> </w:t>
      </w:r>
      <w:r>
        <w:rPr>
          <w:i/>
          <w:sz w:val="20"/>
        </w:rPr>
        <w:t>of</w:t>
      </w:r>
      <w:r>
        <w:rPr>
          <w:i/>
          <w:spacing w:val="-8"/>
          <w:sz w:val="20"/>
        </w:rPr>
        <w:t> </w:t>
      </w:r>
      <w:r>
        <w:rPr>
          <w:i/>
          <w:sz w:val="20"/>
        </w:rPr>
        <w:t>combustible</w:t>
      </w:r>
      <w:r>
        <w:rPr>
          <w:i/>
          <w:spacing w:val="-6"/>
          <w:sz w:val="20"/>
        </w:rPr>
        <w:t> </w:t>
      </w:r>
      <w:r>
        <w:rPr>
          <w:i/>
          <w:sz w:val="20"/>
        </w:rPr>
        <w:t>vapors,</w:t>
      </w:r>
      <w:r>
        <w:rPr>
          <w:i/>
          <w:spacing w:val="-7"/>
          <w:sz w:val="20"/>
        </w:rPr>
        <w:t> </w:t>
      </w:r>
      <w:r>
        <w:rPr>
          <w:i/>
          <w:sz w:val="20"/>
        </w:rPr>
        <w:t>ignition sources, and the potential for domino effects that may result in material losses, operational disruptions, environmental damage, and casualties. One facility with such potential hazards is the isobutanol (IBA) storage tanks</w:t>
      </w:r>
      <w:r>
        <w:rPr>
          <w:i/>
          <w:spacing w:val="-6"/>
          <w:sz w:val="20"/>
        </w:rPr>
        <w:t> </w:t>
      </w:r>
      <w:r>
        <w:rPr>
          <w:i/>
          <w:sz w:val="20"/>
        </w:rPr>
        <w:t>TK-725</w:t>
      </w:r>
      <w:r>
        <w:rPr>
          <w:i/>
          <w:spacing w:val="-7"/>
          <w:sz w:val="20"/>
        </w:rPr>
        <w:t> </w:t>
      </w:r>
      <w:r>
        <w:rPr>
          <w:i/>
          <w:sz w:val="20"/>
        </w:rPr>
        <w:t>and</w:t>
      </w:r>
      <w:r>
        <w:rPr>
          <w:i/>
          <w:spacing w:val="-12"/>
          <w:sz w:val="20"/>
        </w:rPr>
        <w:t> </w:t>
      </w:r>
      <w:r>
        <w:rPr>
          <w:i/>
          <w:sz w:val="20"/>
        </w:rPr>
        <w:t>TK-726</w:t>
      </w:r>
      <w:r>
        <w:rPr>
          <w:i/>
          <w:spacing w:val="-7"/>
          <w:sz w:val="20"/>
        </w:rPr>
        <w:t> </w:t>
      </w:r>
      <w:r>
        <w:rPr>
          <w:i/>
          <w:sz w:val="20"/>
        </w:rPr>
        <w:t>at</w:t>
      </w:r>
      <w:r>
        <w:rPr>
          <w:i/>
          <w:spacing w:val="-8"/>
          <w:sz w:val="20"/>
        </w:rPr>
        <w:t> </w:t>
      </w:r>
      <w:r>
        <w:rPr>
          <w:i/>
          <w:sz w:val="20"/>
        </w:rPr>
        <w:t>Perusahaan</w:t>
      </w:r>
      <w:r>
        <w:rPr>
          <w:i/>
          <w:spacing w:val="-7"/>
          <w:sz w:val="20"/>
        </w:rPr>
        <w:t> </w:t>
      </w:r>
      <w:r>
        <w:rPr>
          <w:i/>
          <w:sz w:val="20"/>
        </w:rPr>
        <w:t>Kimia</w:t>
      </w:r>
      <w:r>
        <w:rPr>
          <w:i/>
          <w:spacing w:val="-12"/>
          <w:sz w:val="20"/>
        </w:rPr>
        <w:t> </w:t>
      </w:r>
      <w:r>
        <w:rPr>
          <w:i/>
          <w:sz w:val="20"/>
        </w:rPr>
        <w:t>Gresik,</w:t>
      </w:r>
      <w:r>
        <w:rPr>
          <w:i/>
          <w:spacing w:val="-12"/>
          <w:sz w:val="20"/>
        </w:rPr>
        <w:t> </w:t>
      </w:r>
      <w:r>
        <w:rPr>
          <w:i/>
          <w:sz w:val="20"/>
        </w:rPr>
        <w:t>which</w:t>
      </w:r>
      <w:r>
        <w:rPr>
          <w:i/>
          <w:spacing w:val="-7"/>
          <w:sz w:val="20"/>
        </w:rPr>
        <w:t> </w:t>
      </w:r>
      <w:r>
        <w:rPr>
          <w:i/>
          <w:sz w:val="20"/>
        </w:rPr>
        <w:t>are</w:t>
      </w:r>
      <w:r>
        <w:rPr>
          <w:i/>
          <w:spacing w:val="-6"/>
          <w:sz w:val="20"/>
        </w:rPr>
        <w:t> </w:t>
      </w:r>
      <w:r>
        <w:rPr>
          <w:i/>
          <w:sz w:val="20"/>
        </w:rPr>
        <w:t>currently</w:t>
      </w:r>
      <w:r>
        <w:rPr>
          <w:i/>
          <w:spacing w:val="-12"/>
          <w:sz w:val="20"/>
        </w:rPr>
        <w:t> </w:t>
      </w:r>
      <w:r>
        <w:rPr>
          <w:i/>
          <w:sz w:val="20"/>
        </w:rPr>
        <w:t>protected</w:t>
      </w:r>
      <w:r>
        <w:rPr>
          <w:i/>
          <w:spacing w:val="-7"/>
          <w:sz w:val="20"/>
        </w:rPr>
        <w:t> </w:t>
      </w:r>
      <w:r>
        <w:rPr>
          <w:i/>
          <w:sz w:val="20"/>
        </w:rPr>
        <w:t>only</w:t>
      </w:r>
      <w:r>
        <w:rPr>
          <w:i/>
          <w:spacing w:val="-11"/>
          <w:sz w:val="20"/>
        </w:rPr>
        <w:t> </w:t>
      </w:r>
      <w:r>
        <w:rPr>
          <w:i/>
          <w:sz w:val="20"/>
        </w:rPr>
        <w:t>by</w:t>
      </w:r>
      <w:r>
        <w:rPr>
          <w:i/>
          <w:spacing w:val="-6"/>
          <w:sz w:val="20"/>
        </w:rPr>
        <w:t> </w:t>
      </w:r>
      <w:r>
        <w:rPr>
          <w:i/>
          <w:sz w:val="20"/>
        </w:rPr>
        <w:t>foam</w:t>
      </w:r>
      <w:r>
        <w:rPr>
          <w:i/>
          <w:spacing w:val="-12"/>
          <w:sz w:val="20"/>
        </w:rPr>
        <w:t> </w:t>
      </w:r>
      <w:r>
        <w:rPr>
          <w:i/>
          <w:sz w:val="20"/>
        </w:rPr>
        <w:t>chambers</w:t>
      </w:r>
      <w:r>
        <w:rPr>
          <w:i/>
          <w:spacing w:val="-10"/>
          <w:sz w:val="20"/>
        </w:rPr>
        <w:t> </w:t>
      </w:r>
      <w:r>
        <w:rPr>
          <w:i/>
          <w:sz w:val="20"/>
        </w:rPr>
        <w:t>and a hydrant network without a dedicated tank cooling system. This study aimed to analyze the fire risk associated with</w:t>
      </w:r>
      <w:r>
        <w:rPr>
          <w:i/>
          <w:spacing w:val="-7"/>
          <w:sz w:val="20"/>
        </w:rPr>
        <w:t> </w:t>
      </w:r>
      <w:r>
        <w:rPr>
          <w:i/>
          <w:sz w:val="20"/>
        </w:rPr>
        <w:t>isobutanol</w:t>
      </w:r>
      <w:r>
        <w:rPr>
          <w:i/>
          <w:spacing w:val="-8"/>
          <w:sz w:val="20"/>
        </w:rPr>
        <w:t> </w:t>
      </w:r>
      <w:r>
        <w:rPr>
          <w:i/>
          <w:sz w:val="20"/>
        </w:rPr>
        <w:t>storage</w:t>
      </w:r>
      <w:r>
        <w:rPr>
          <w:i/>
          <w:spacing w:val="-11"/>
          <w:sz w:val="20"/>
        </w:rPr>
        <w:t> </w:t>
      </w:r>
      <w:r>
        <w:rPr>
          <w:i/>
          <w:sz w:val="20"/>
        </w:rPr>
        <w:t>tanks</w:t>
      </w:r>
      <w:r>
        <w:rPr>
          <w:i/>
          <w:spacing w:val="-10"/>
          <w:sz w:val="20"/>
        </w:rPr>
        <w:t> </w:t>
      </w:r>
      <w:r>
        <w:rPr>
          <w:i/>
          <w:sz w:val="20"/>
        </w:rPr>
        <w:t>and</w:t>
      </w:r>
      <w:r>
        <w:rPr>
          <w:i/>
          <w:spacing w:val="-7"/>
          <w:sz w:val="20"/>
        </w:rPr>
        <w:t> </w:t>
      </w:r>
      <w:r>
        <w:rPr>
          <w:i/>
          <w:sz w:val="20"/>
        </w:rPr>
        <w:t>to</w:t>
      </w:r>
      <w:r>
        <w:rPr>
          <w:i/>
          <w:spacing w:val="-8"/>
          <w:sz w:val="20"/>
        </w:rPr>
        <w:t> </w:t>
      </w:r>
      <w:r>
        <w:rPr>
          <w:i/>
          <w:sz w:val="20"/>
        </w:rPr>
        <w:t>design</w:t>
      </w:r>
      <w:r>
        <w:rPr>
          <w:i/>
          <w:spacing w:val="-7"/>
          <w:sz w:val="20"/>
        </w:rPr>
        <w:t> </w:t>
      </w:r>
      <w:r>
        <w:rPr>
          <w:i/>
          <w:sz w:val="20"/>
        </w:rPr>
        <w:t>a</w:t>
      </w:r>
      <w:r>
        <w:rPr>
          <w:i/>
          <w:spacing w:val="-12"/>
          <w:sz w:val="20"/>
        </w:rPr>
        <w:t> </w:t>
      </w:r>
      <w:r>
        <w:rPr>
          <w:i/>
          <w:sz w:val="20"/>
        </w:rPr>
        <w:t>water</w:t>
      </w:r>
      <w:r>
        <w:rPr>
          <w:i/>
          <w:spacing w:val="-6"/>
          <w:sz w:val="20"/>
        </w:rPr>
        <w:t> </w:t>
      </w:r>
      <w:r>
        <w:rPr>
          <w:i/>
          <w:sz w:val="20"/>
        </w:rPr>
        <w:t>spray</w:t>
      </w:r>
      <w:r>
        <w:rPr>
          <w:i/>
          <w:spacing w:val="-11"/>
          <w:sz w:val="20"/>
        </w:rPr>
        <w:t> </w:t>
      </w:r>
      <w:r>
        <w:rPr>
          <w:i/>
          <w:sz w:val="20"/>
        </w:rPr>
        <w:t>system</w:t>
      </w:r>
      <w:r>
        <w:rPr>
          <w:i/>
          <w:spacing w:val="-7"/>
          <w:sz w:val="20"/>
        </w:rPr>
        <w:t> </w:t>
      </w:r>
      <w:r>
        <w:rPr>
          <w:i/>
          <w:sz w:val="20"/>
        </w:rPr>
        <w:t>as</w:t>
      </w:r>
      <w:r>
        <w:rPr>
          <w:i/>
          <w:spacing w:val="-6"/>
          <w:sz w:val="20"/>
        </w:rPr>
        <w:t> </w:t>
      </w:r>
      <w:r>
        <w:rPr>
          <w:i/>
          <w:sz w:val="20"/>
        </w:rPr>
        <w:t>a</w:t>
      </w:r>
      <w:r>
        <w:rPr>
          <w:i/>
          <w:spacing w:val="-12"/>
          <w:sz w:val="20"/>
        </w:rPr>
        <w:t> </w:t>
      </w:r>
      <w:r>
        <w:rPr>
          <w:i/>
          <w:sz w:val="20"/>
        </w:rPr>
        <w:t>mitigation</w:t>
      </w:r>
      <w:r>
        <w:rPr>
          <w:i/>
          <w:spacing w:val="-7"/>
          <w:sz w:val="20"/>
        </w:rPr>
        <w:t> </w:t>
      </w:r>
      <w:r>
        <w:rPr>
          <w:i/>
          <w:sz w:val="20"/>
        </w:rPr>
        <w:t>measure</w:t>
      </w:r>
      <w:r>
        <w:rPr>
          <w:i/>
          <w:spacing w:val="-11"/>
          <w:sz w:val="20"/>
        </w:rPr>
        <w:t> </w:t>
      </w:r>
      <w:r>
        <w:rPr>
          <w:i/>
          <w:sz w:val="20"/>
        </w:rPr>
        <w:t>to</w:t>
      </w:r>
      <w:r>
        <w:rPr>
          <w:i/>
          <w:spacing w:val="-13"/>
          <w:sz w:val="20"/>
        </w:rPr>
        <w:t> </w:t>
      </w:r>
      <w:r>
        <w:rPr>
          <w:i/>
          <w:sz w:val="20"/>
        </w:rPr>
        <w:t>reduce</w:t>
      </w:r>
      <w:r>
        <w:rPr>
          <w:i/>
          <w:spacing w:val="-10"/>
          <w:sz w:val="20"/>
        </w:rPr>
        <w:t> </w:t>
      </w:r>
      <w:r>
        <w:rPr>
          <w:i/>
          <w:sz w:val="20"/>
        </w:rPr>
        <w:t>fire</w:t>
      </w:r>
      <w:r>
        <w:rPr>
          <w:i/>
          <w:spacing w:val="-11"/>
          <w:sz w:val="20"/>
        </w:rPr>
        <w:t> </w:t>
      </w:r>
      <w:r>
        <w:rPr>
          <w:i/>
          <w:sz w:val="20"/>
        </w:rPr>
        <w:t>escalation and thermal</w:t>
      </w:r>
      <w:r>
        <w:rPr>
          <w:i/>
          <w:spacing w:val="-3"/>
          <w:sz w:val="20"/>
        </w:rPr>
        <w:t> </w:t>
      </w:r>
      <w:r>
        <w:rPr>
          <w:i/>
          <w:sz w:val="20"/>
        </w:rPr>
        <w:t>radiation impacts</w:t>
      </w:r>
      <w:r>
        <w:rPr>
          <w:i/>
          <w:spacing w:val="-1"/>
          <w:sz w:val="20"/>
        </w:rPr>
        <w:t> </w:t>
      </w:r>
      <w:r>
        <w:rPr>
          <w:i/>
          <w:sz w:val="20"/>
        </w:rPr>
        <w:t>during fire incidents. The</w:t>
      </w:r>
      <w:r>
        <w:rPr>
          <w:i/>
          <w:spacing w:val="-1"/>
          <w:sz w:val="20"/>
        </w:rPr>
        <w:t> </w:t>
      </w:r>
      <w:r>
        <w:rPr>
          <w:i/>
          <w:sz w:val="20"/>
        </w:rPr>
        <w:t>research employed</w:t>
      </w:r>
      <w:r>
        <w:rPr>
          <w:i/>
          <w:spacing w:val="-3"/>
          <w:sz w:val="20"/>
        </w:rPr>
        <w:t> </w:t>
      </w:r>
      <w:r>
        <w:rPr>
          <w:i/>
          <w:sz w:val="20"/>
        </w:rPr>
        <w:t>a Fire</w:t>
      </w:r>
      <w:r>
        <w:rPr>
          <w:i/>
          <w:spacing w:val="-1"/>
          <w:sz w:val="20"/>
        </w:rPr>
        <w:t> </w:t>
      </w:r>
      <w:r>
        <w:rPr>
          <w:i/>
          <w:sz w:val="20"/>
        </w:rPr>
        <w:t>Risk Assessment (FRA) using the qualitative method proposed by Yung (2008) to identify hazards, evaluate likelihood and severity levels, and determine risk ratings through</w:t>
      </w:r>
      <w:r>
        <w:rPr>
          <w:i/>
          <w:spacing w:val="-1"/>
          <w:sz w:val="20"/>
        </w:rPr>
        <w:t> </w:t>
      </w:r>
      <w:r>
        <w:rPr>
          <w:i/>
          <w:sz w:val="20"/>
        </w:rPr>
        <w:t>a</w:t>
      </w:r>
      <w:r>
        <w:rPr>
          <w:i/>
          <w:spacing w:val="-1"/>
          <w:sz w:val="20"/>
        </w:rPr>
        <w:t> </w:t>
      </w:r>
      <w:r>
        <w:rPr>
          <w:i/>
          <w:sz w:val="20"/>
        </w:rPr>
        <w:t>risk matrix</w:t>
      </w:r>
      <w:r>
        <w:rPr>
          <w:i/>
          <w:spacing w:val="-1"/>
          <w:sz w:val="20"/>
        </w:rPr>
        <w:t> </w:t>
      </w:r>
      <w:r>
        <w:rPr>
          <w:i/>
          <w:sz w:val="20"/>
        </w:rPr>
        <w:t>approach.</w:t>
      </w:r>
      <w:r>
        <w:rPr>
          <w:i/>
          <w:spacing w:val="-1"/>
          <w:sz w:val="20"/>
        </w:rPr>
        <w:t> </w:t>
      </w:r>
      <w:r>
        <w:rPr>
          <w:i/>
          <w:sz w:val="20"/>
        </w:rPr>
        <w:t>The results of</w:t>
      </w:r>
      <w:r>
        <w:rPr>
          <w:i/>
          <w:spacing w:val="-2"/>
          <w:sz w:val="20"/>
        </w:rPr>
        <w:t> </w:t>
      </w:r>
      <w:r>
        <w:rPr>
          <w:i/>
          <w:sz w:val="20"/>
        </w:rPr>
        <w:t>the risk assessment</w:t>
      </w:r>
      <w:r>
        <w:rPr>
          <w:i/>
          <w:spacing w:val="-2"/>
          <w:sz w:val="20"/>
        </w:rPr>
        <w:t> </w:t>
      </w:r>
      <w:r>
        <w:rPr>
          <w:i/>
          <w:sz w:val="20"/>
        </w:rPr>
        <w:t>were</w:t>
      </w:r>
      <w:r>
        <w:rPr>
          <w:i/>
          <w:spacing w:val="-5"/>
          <w:sz w:val="20"/>
        </w:rPr>
        <w:t> </w:t>
      </w:r>
      <w:r>
        <w:rPr>
          <w:i/>
          <w:sz w:val="20"/>
        </w:rPr>
        <w:t>subsequently</w:t>
      </w:r>
      <w:r>
        <w:rPr>
          <w:i/>
          <w:spacing w:val="-1"/>
          <w:sz w:val="20"/>
        </w:rPr>
        <w:t> </w:t>
      </w:r>
      <w:r>
        <w:rPr>
          <w:i/>
          <w:sz w:val="20"/>
        </w:rPr>
        <w:t>used as the basis for designing the water spray system in accordance with applicable fire protection standards. The findings</w:t>
      </w:r>
      <w:r>
        <w:rPr>
          <w:i/>
          <w:spacing w:val="-6"/>
          <w:sz w:val="20"/>
        </w:rPr>
        <w:t> </w:t>
      </w:r>
      <w:r>
        <w:rPr>
          <w:i/>
          <w:sz w:val="20"/>
        </w:rPr>
        <w:t>indicated</w:t>
      </w:r>
      <w:r>
        <w:rPr>
          <w:i/>
          <w:spacing w:val="-7"/>
          <w:sz w:val="20"/>
        </w:rPr>
        <w:t> </w:t>
      </w:r>
      <w:r>
        <w:rPr>
          <w:i/>
          <w:sz w:val="20"/>
        </w:rPr>
        <w:t>that</w:t>
      </w:r>
      <w:r>
        <w:rPr>
          <w:i/>
          <w:spacing w:val="-8"/>
          <w:sz w:val="20"/>
        </w:rPr>
        <w:t> </w:t>
      </w:r>
      <w:r>
        <w:rPr>
          <w:i/>
          <w:sz w:val="20"/>
        </w:rPr>
        <w:t>the</w:t>
      </w:r>
      <w:r>
        <w:rPr>
          <w:i/>
          <w:spacing w:val="-6"/>
          <w:sz w:val="20"/>
        </w:rPr>
        <w:t> </w:t>
      </w:r>
      <w:r>
        <w:rPr>
          <w:i/>
          <w:sz w:val="20"/>
        </w:rPr>
        <w:t>liquid</w:t>
      </w:r>
      <w:r>
        <w:rPr>
          <w:i/>
          <w:spacing w:val="-7"/>
          <w:sz w:val="20"/>
        </w:rPr>
        <w:t> </w:t>
      </w:r>
      <w:r>
        <w:rPr>
          <w:i/>
          <w:sz w:val="20"/>
        </w:rPr>
        <w:t>spill</w:t>
      </w:r>
      <w:r>
        <w:rPr>
          <w:i/>
          <w:spacing w:val="-9"/>
          <w:sz w:val="20"/>
        </w:rPr>
        <w:t> </w:t>
      </w:r>
      <w:r>
        <w:rPr>
          <w:i/>
          <w:sz w:val="20"/>
        </w:rPr>
        <w:t>scenario</w:t>
      </w:r>
      <w:r>
        <w:rPr>
          <w:i/>
          <w:spacing w:val="-8"/>
          <w:sz w:val="20"/>
        </w:rPr>
        <w:t> </w:t>
      </w:r>
      <w:r>
        <w:rPr>
          <w:i/>
          <w:sz w:val="20"/>
        </w:rPr>
        <w:t>caused</w:t>
      </w:r>
      <w:r>
        <w:rPr>
          <w:i/>
          <w:spacing w:val="-7"/>
          <w:sz w:val="20"/>
        </w:rPr>
        <w:t> </w:t>
      </w:r>
      <w:r>
        <w:rPr>
          <w:i/>
          <w:sz w:val="20"/>
        </w:rPr>
        <w:t>by</w:t>
      </w:r>
      <w:r>
        <w:rPr>
          <w:i/>
          <w:spacing w:val="-6"/>
          <w:sz w:val="20"/>
        </w:rPr>
        <w:t> </w:t>
      </w:r>
      <w:r>
        <w:rPr>
          <w:i/>
          <w:sz w:val="20"/>
        </w:rPr>
        <w:t>tank</w:t>
      </w:r>
      <w:r>
        <w:rPr>
          <w:i/>
          <w:spacing w:val="-6"/>
          <w:sz w:val="20"/>
        </w:rPr>
        <w:t> </w:t>
      </w:r>
      <w:r>
        <w:rPr>
          <w:i/>
          <w:sz w:val="20"/>
        </w:rPr>
        <w:t>overfilling</w:t>
      </w:r>
      <w:r>
        <w:rPr>
          <w:i/>
          <w:spacing w:val="-7"/>
          <w:sz w:val="20"/>
        </w:rPr>
        <w:t> </w:t>
      </w:r>
      <w:r>
        <w:rPr>
          <w:i/>
          <w:sz w:val="20"/>
        </w:rPr>
        <w:t>during</w:t>
      </w:r>
      <w:r>
        <w:rPr>
          <w:i/>
          <w:spacing w:val="-7"/>
          <w:sz w:val="20"/>
        </w:rPr>
        <w:t> </w:t>
      </w:r>
      <w:r>
        <w:rPr>
          <w:i/>
          <w:sz w:val="20"/>
        </w:rPr>
        <w:t>loading</w:t>
      </w:r>
      <w:r>
        <w:rPr>
          <w:i/>
          <w:spacing w:val="-7"/>
          <w:sz w:val="20"/>
        </w:rPr>
        <w:t> </w:t>
      </w:r>
      <w:r>
        <w:rPr>
          <w:i/>
          <w:sz w:val="20"/>
        </w:rPr>
        <w:t>operations</w:t>
      </w:r>
      <w:r>
        <w:rPr>
          <w:i/>
          <w:spacing w:val="-6"/>
          <w:sz w:val="20"/>
        </w:rPr>
        <w:t> </w:t>
      </w:r>
      <w:r>
        <w:rPr>
          <w:i/>
          <w:sz w:val="20"/>
        </w:rPr>
        <w:t>had</w:t>
      </w:r>
      <w:r>
        <w:rPr>
          <w:i/>
          <w:spacing w:val="-7"/>
          <w:sz w:val="20"/>
        </w:rPr>
        <w:t> </w:t>
      </w:r>
      <w:r>
        <w:rPr>
          <w:i/>
          <w:sz w:val="20"/>
        </w:rPr>
        <w:t>an</w:t>
      </w:r>
      <w:r>
        <w:rPr>
          <w:i/>
          <w:spacing w:val="-7"/>
          <w:sz w:val="20"/>
        </w:rPr>
        <w:t> </w:t>
      </w:r>
      <w:r>
        <w:rPr>
          <w:i/>
          <w:sz w:val="20"/>
        </w:rPr>
        <w:t>initial risk level categorized as Moderate to High, with a possible likelihood of occurrence and high severity.. The implementation of a water spray system was recommended as an additional control measure and was found capable</w:t>
      </w:r>
      <w:r>
        <w:rPr>
          <w:i/>
          <w:spacing w:val="-2"/>
          <w:sz w:val="20"/>
        </w:rPr>
        <w:t> </w:t>
      </w:r>
      <w:r>
        <w:rPr>
          <w:i/>
          <w:sz w:val="20"/>
        </w:rPr>
        <w:t>of</w:t>
      </w:r>
      <w:r>
        <w:rPr>
          <w:i/>
          <w:spacing w:val="-3"/>
          <w:sz w:val="20"/>
        </w:rPr>
        <w:t> </w:t>
      </w:r>
      <w:r>
        <w:rPr>
          <w:i/>
          <w:sz w:val="20"/>
        </w:rPr>
        <w:t>reducing</w:t>
      </w:r>
      <w:r>
        <w:rPr>
          <w:i/>
          <w:spacing w:val="-2"/>
          <w:sz w:val="20"/>
        </w:rPr>
        <w:t> </w:t>
      </w:r>
      <w:r>
        <w:rPr>
          <w:i/>
          <w:sz w:val="20"/>
        </w:rPr>
        <w:t>the</w:t>
      </w:r>
      <w:r>
        <w:rPr>
          <w:i/>
          <w:spacing w:val="-6"/>
          <w:sz w:val="20"/>
        </w:rPr>
        <w:t> </w:t>
      </w:r>
      <w:r>
        <w:rPr>
          <w:i/>
          <w:sz w:val="20"/>
        </w:rPr>
        <w:t>severity</w:t>
      </w:r>
      <w:r>
        <w:rPr>
          <w:i/>
          <w:spacing w:val="-1"/>
          <w:sz w:val="20"/>
        </w:rPr>
        <w:t> </w:t>
      </w:r>
      <w:r>
        <w:rPr>
          <w:i/>
          <w:sz w:val="20"/>
        </w:rPr>
        <w:t>level</w:t>
      </w:r>
      <w:r>
        <w:rPr>
          <w:i/>
          <w:spacing w:val="-3"/>
          <w:sz w:val="20"/>
        </w:rPr>
        <w:t> </w:t>
      </w:r>
      <w:r>
        <w:rPr>
          <w:i/>
          <w:sz w:val="20"/>
        </w:rPr>
        <w:t>from</w:t>
      </w:r>
      <w:r>
        <w:rPr>
          <w:i/>
          <w:spacing w:val="-2"/>
          <w:sz w:val="20"/>
        </w:rPr>
        <w:t> </w:t>
      </w:r>
      <w:r>
        <w:rPr>
          <w:i/>
          <w:sz w:val="20"/>
        </w:rPr>
        <w:t>high</w:t>
      </w:r>
      <w:r>
        <w:rPr>
          <w:i/>
          <w:spacing w:val="-2"/>
          <w:sz w:val="20"/>
        </w:rPr>
        <w:t> </w:t>
      </w:r>
      <w:r>
        <w:rPr>
          <w:i/>
          <w:sz w:val="20"/>
        </w:rPr>
        <w:t>to</w:t>
      </w:r>
      <w:r>
        <w:rPr>
          <w:i/>
          <w:spacing w:val="-2"/>
          <w:sz w:val="20"/>
        </w:rPr>
        <w:t> </w:t>
      </w:r>
      <w:r>
        <w:rPr>
          <w:i/>
          <w:sz w:val="20"/>
        </w:rPr>
        <w:t>moderate,</w:t>
      </w:r>
      <w:r>
        <w:rPr>
          <w:i/>
          <w:spacing w:val="-2"/>
          <w:sz w:val="20"/>
        </w:rPr>
        <w:t> </w:t>
      </w:r>
      <w:r>
        <w:rPr>
          <w:i/>
          <w:sz w:val="20"/>
        </w:rPr>
        <w:t>thereby</w:t>
      </w:r>
      <w:r>
        <w:rPr>
          <w:i/>
          <w:spacing w:val="-1"/>
          <w:sz w:val="20"/>
        </w:rPr>
        <w:t> </w:t>
      </w:r>
      <w:r>
        <w:rPr>
          <w:i/>
          <w:sz w:val="20"/>
        </w:rPr>
        <w:t>lowering</w:t>
      </w:r>
      <w:r>
        <w:rPr>
          <w:i/>
          <w:spacing w:val="-2"/>
          <w:sz w:val="20"/>
        </w:rPr>
        <w:t> </w:t>
      </w:r>
      <w:r>
        <w:rPr>
          <w:i/>
          <w:sz w:val="20"/>
        </w:rPr>
        <w:t>the</w:t>
      </w:r>
      <w:r>
        <w:rPr>
          <w:i/>
          <w:spacing w:val="-1"/>
          <w:sz w:val="20"/>
        </w:rPr>
        <w:t> </w:t>
      </w:r>
      <w:r>
        <w:rPr>
          <w:i/>
          <w:sz w:val="20"/>
        </w:rPr>
        <w:t>overall</w:t>
      </w:r>
      <w:r>
        <w:rPr>
          <w:i/>
          <w:spacing w:val="-3"/>
          <w:sz w:val="20"/>
        </w:rPr>
        <w:t> </w:t>
      </w:r>
      <w:r>
        <w:rPr>
          <w:i/>
          <w:sz w:val="20"/>
        </w:rPr>
        <w:t>risk</w:t>
      </w:r>
      <w:r>
        <w:rPr>
          <w:i/>
          <w:spacing w:val="-1"/>
          <w:sz w:val="20"/>
        </w:rPr>
        <w:t> </w:t>
      </w:r>
      <w:r>
        <w:rPr>
          <w:i/>
          <w:sz w:val="20"/>
        </w:rPr>
        <w:t>level</w:t>
      </w:r>
      <w:r>
        <w:rPr>
          <w:i/>
          <w:spacing w:val="-3"/>
          <w:sz w:val="20"/>
        </w:rPr>
        <w:t> </w:t>
      </w:r>
      <w:r>
        <w:rPr>
          <w:i/>
          <w:sz w:val="20"/>
        </w:rPr>
        <w:t>to</w:t>
      </w:r>
      <w:r>
        <w:rPr>
          <w:i/>
          <w:spacing w:val="-3"/>
          <w:sz w:val="20"/>
        </w:rPr>
        <w:t> </w:t>
      </w:r>
      <w:r>
        <w:rPr>
          <w:i/>
          <w:sz w:val="20"/>
        </w:rPr>
        <w:t>Moderate. The design calculations showed that the water demand for a single tank was 306.6 m³, while the total water requirement for protecting both</w:t>
      </w:r>
      <w:r>
        <w:rPr>
          <w:i/>
          <w:spacing w:val="-2"/>
          <w:sz w:val="20"/>
        </w:rPr>
        <w:t> </w:t>
      </w:r>
      <w:r>
        <w:rPr>
          <w:i/>
          <w:sz w:val="20"/>
        </w:rPr>
        <w:t>tanks reached 613.368 m³.</w:t>
      </w:r>
      <w:r>
        <w:rPr>
          <w:i/>
          <w:spacing w:val="-2"/>
          <w:sz w:val="20"/>
        </w:rPr>
        <w:t> </w:t>
      </w:r>
      <w:r>
        <w:rPr>
          <w:i/>
          <w:sz w:val="20"/>
        </w:rPr>
        <w:t>The proposed</w:t>
      </w:r>
      <w:r>
        <w:rPr>
          <w:i/>
          <w:spacing w:val="-2"/>
          <w:sz w:val="20"/>
        </w:rPr>
        <w:t> </w:t>
      </w:r>
      <w:r>
        <w:rPr>
          <w:i/>
          <w:sz w:val="20"/>
        </w:rPr>
        <w:t>system is expected</w:t>
      </w:r>
      <w:r>
        <w:rPr>
          <w:i/>
          <w:spacing w:val="-2"/>
          <w:sz w:val="20"/>
        </w:rPr>
        <w:t> </w:t>
      </w:r>
      <w:r>
        <w:rPr>
          <w:i/>
          <w:sz w:val="20"/>
        </w:rPr>
        <w:t>to provide adequate cooling to tank surfaces, reduce thermal radiation effects, prevent structural failure, and minimize the potential spread of fire to surrounding facilities.</w:t>
      </w:r>
    </w:p>
    <w:p>
      <w:pPr>
        <w:spacing w:before="117"/>
        <w:ind w:left="141" w:right="0" w:firstLine="0"/>
        <w:jc w:val="both"/>
        <w:rPr>
          <w:i/>
          <w:sz w:val="20"/>
        </w:rPr>
      </w:pPr>
      <w:r>
        <w:rPr>
          <w:b/>
          <w:i/>
          <w:sz w:val="20"/>
        </w:rPr>
        <w:t>Keywords</w:t>
      </w:r>
      <w:r>
        <w:rPr>
          <w:i/>
          <w:sz w:val="20"/>
        </w:rPr>
        <w:t>:</w:t>
      </w:r>
      <w:r>
        <w:rPr>
          <w:i/>
          <w:spacing w:val="-5"/>
          <w:sz w:val="20"/>
        </w:rPr>
        <w:t> </w:t>
      </w:r>
      <w:r>
        <w:rPr>
          <w:i/>
          <w:sz w:val="20"/>
        </w:rPr>
        <w:t>Fire</w:t>
      </w:r>
      <w:r>
        <w:rPr>
          <w:i/>
          <w:spacing w:val="-1"/>
          <w:sz w:val="20"/>
        </w:rPr>
        <w:t> </w:t>
      </w:r>
      <w:r>
        <w:rPr>
          <w:i/>
          <w:sz w:val="20"/>
        </w:rPr>
        <w:t>Risk</w:t>
      </w:r>
      <w:r>
        <w:rPr>
          <w:i/>
          <w:spacing w:val="-1"/>
          <w:sz w:val="20"/>
        </w:rPr>
        <w:t> </w:t>
      </w:r>
      <w:r>
        <w:rPr>
          <w:i/>
          <w:sz w:val="20"/>
        </w:rPr>
        <w:t>Assessment,</w:t>
      </w:r>
      <w:r>
        <w:rPr>
          <w:i/>
          <w:spacing w:val="-2"/>
          <w:sz w:val="20"/>
        </w:rPr>
        <w:t> </w:t>
      </w:r>
      <w:r>
        <w:rPr>
          <w:i/>
          <w:sz w:val="20"/>
        </w:rPr>
        <w:t>Tank,</w:t>
      </w:r>
      <w:r>
        <w:rPr>
          <w:i/>
          <w:spacing w:val="-2"/>
          <w:sz w:val="20"/>
        </w:rPr>
        <w:t> </w:t>
      </w:r>
      <w:r>
        <w:rPr>
          <w:i/>
          <w:sz w:val="20"/>
        </w:rPr>
        <w:t>Water</w:t>
      </w:r>
      <w:r>
        <w:rPr>
          <w:i/>
          <w:spacing w:val="-1"/>
          <w:sz w:val="20"/>
        </w:rPr>
        <w:t> </w:t>
      </w:r>
      <w:r>
        <w:rPr>
          <w:i/>
          <w:spacing w:val="-4"/>
          <w:sz w:val="20"/>
        </w:rPr>
        <w:t>Spray</w:t>
      </w:r>
    </w:p>
    <w:p>
      <w:pPr>
        <w:spacing w:after="0"/>
        <w:jc w:val="both"/>
        <w:rPr>
          <w:i/>
          <w:sz w:val="20"/>
        </w:rPr>
        <w:sectPr>
          <w:headerReference w:type="default" r:id="rId5"/>
          <w:type w:val="continuous"/>
          <w:pgSz w:w="11910" w:h="16840"/>
          <w:pgMar w:header="960" w:footer="0" w:top="1820" w:bottom="280" w:left="1559" w:right="992"/>
          <w:pgNumType w:start="1"/>
        </w:sectPr>
      </w:pPr>
    </w:p>
    <w:p>
      <w:pPr>
        <w:pStyle w:val="Heading2"/>
        <w:numPr>
          <w:ilvl w:val="0"/>
          <w:numId w:val="1"/>
        </w:numPr>
        <w:tabs>
          <w:tab w:pos="546" w:val="left" w:leader="none"/>
        </w:tabs>
        <w:spacing w:line="240" w:lineRule="auto" w:before="81" w:after="0"/>
        <w:ind w:left="546" w:right="0" w:hanging="405"/>
        <w:jc w:val="left"/>
      </w:pPr>
      <w:r>
        <w:rPr>
          <w:spacing w:val="-2"/>
        </w:rPr>
        <w:t>PENDAHULUAN</w:t>
      </w:r>
    </w:p>
    <w:p>
      <w:pPr>
        <w:pStyle w:val="BodyText"/>
        <w:spacing w:before="115"/>
        <w:ind w:right="136" w:firstLine="425"/>
        <w:jc w:val="both"/>
      </w:pPr>
      <w:r>
        <w:rPr/>
        <w:t>Sektor industri kimia menjalankan kegiatan operasional yang ekstensif dalam memproduksi polimer, petrokimia, bahan kimia dasar, beserta berbagai produk turunannya. Karakteristik operasional ini menuntut pengelolaan</w:t>
      </w:r>
      <w:r>
        <w:rPr>
          <w:spacing w:val="-2"/>
        </w:rPr>
        <w:t> </w:t>
      </w:r>
      <w:r>
        <w:rPr/>
        <w:t>bahan</w:t>
      </w:r>
      <w:r>
        <w:rPr>
          <w:spacing w:val="-2"/>
        </w:rPr>
        <w:t> </w:t>
      </w:r>
      <w:r>
        <w:rPr/>
        <w:t>berbahaya</w:t>
      </w:r>
      <w:r>
        <w:rPr>
          <w:spacing w:val="-1"/>
        </w:rPr>
        <w:t> </w:t>
      </w:r>
      <w:r>
        <w:rPr/>
        <w:t>dalam</w:t>
      </w:r>
      <w:r>
        <w:rPr>
          <w:spacing w:val="-3"/>
        </w:rPr>
        <w:t> </w:t>
      </w:r>
      <w:r>
        <w:rPr/>
        <w:t>kapasitas</w:t>
      </w:r>
      <w:r>
        <w:rPr>
          <w:spacing w:val="-1"/>
        </w:rPr>
        <w:t> </w:t>
      </w:r>
      <w:r>
        <w:rPr/>
        <w:t>masif</w:t>
      </w:r>
      <w:r>
        <w:rPr>
          <w:spacing w:val="-5"/>
        </w:rPr>
        <w:t> </w:t>
      </w:r>
      <w:r>
        <w:rPr/>
        <w:t>yang</w:t>
      </w:r>
      <w:r>
        <w:rPr>
          <w:spacing w:val="-2"/>
        </w:rPr>
        <w:t> </w:t>
      </w:r>
      <w:r>
        <w:rPr/>
        <w:t>secara</w:t>
      </w:r>
      <w:r>
        <w:rPr>
          <w:spacing w:val="-1"/>
        </w:rPr>
        <w:t> </w:t>
      </w:r>
      <w:r>
        <w:rPr/>
        <w:t>langsung</w:t>
      </w:r>
      <w:r>
        <w:rPr>
          <w:spacing w:val="-2"/>
        </w:rPr>
        <w:t> </w:t>
      </w:r>
      <w:r>
        <w:rPr/>
        <w:t>meningkatkan</w:t>
      </w:r>
      <w:r>
        <w:rPr>
          <w:spacing w:val="-2"/>
        </w:rPr>
        <w:t> </w:t>
      </w:r>
      <w:r>
        <w:rPr/>
        <w:t>probabilitas</w:t>
      </w:r>
      <w:r>
        <w:rPr>
          <w:spacing w:val="-1"/>
        </w:rPr>
        <w:t> </w:t>
      </w:r>
      <w:r>
        <w:rPr/>
        <w:t>kecelakaan industri (Safura, 2023). Ramli (2010) menegaskan bahwa kebakaran merupakan risiko bahaya tertinggi dengan potensi kerugian materiil fatal, disrupsi operasional, kerusakan ekologis, serta jatuhnya korban jiwa. Kebakaran pada fasilitas industri memiliki karakteristik rambatan yang sangat cepat dan berpotensi memicu efek domino (</w:t>
      </w:r>
      <w:r>
        <w:rPr>
          <w:i/>
        </w:rPr>
        <w:t>domino effect</w:t>
      </w:r>
      <w:r>
        <w:rPr/>
        <w:t>), terutama apabila insiden tersebut melibatkan area penyimpanan cairan mudah terbakar berskala </w:t>
      </w:r>
      <w:r>
        <w:rPr>
          <w:spacing w:val="-2"/>
        </w:rPr>
        <w:t>besar.</w:t>
      </w:r>
    </w:p>
    <w:p>
      <w:pPr>
        <w:pStyle w:val="BodyText"/>
        <w:spacing w:before="1"/>
        <w:ind w:right="135" w:firstLine="425"/>
        <w:jc w:val="both"/>
      </w:pPr>
      <w:r>
        <w:rPr/>
        <w:t>Ancaman nyata kebakaran pada fasilitas tangki timbun terbukti dari tingginya angka kecelakaan kerja di Indonesia. Data mencatat sedikitnya 20 insiden di sektor minyak dan gas terjadi sepanjang tahun 2021 dengan rincian</w:t>
      </w:r>
      <w:r>
        <w:rPr>
          <w:spacing w:val="-12"/>
        </w:rPr>
        <w:t> </w:t>
      </w:r>
      <w:r>
        <w:rPr/>
        <w:t>tujuh</w:t>
      </w:r>
      <w:r>
        <w:rPr>
          <w:spacing w:val="-11"/>
        </w:rPr>
        <w:t> </w:t>
      </w:r>
      <w:r>
        <w:rPr/>
        <w:t>unit</w:t>
      </w:r>
      <w:r>
        <w:rPr>
          <w:spacing w:val="-12"/>
        </w:rPr>
        <w:t> </w:t>
      </w:r>
      <w:r>
        <w:rPr/>
        <w:t>tangki</w:t>
      </w:r>
      <w:r>
        <w:rPr>
          <w:spacing w:val="-12"/>
        </w:rPr>
        <w:t> </w:t>
      </w:r>
      <w:r>
        <w:rPr/>
        <w:t>timbun</w:t>
      </w:r>
      <w:r>
        <w:rPr>
          <w:spacing w:val="-11"/>
        </w:rPr>
        <w:t> </w:t>
      </w:r>
      <w:r>
        <w:rPr/>
        <w:t>hangus</w:t>
      </w:r>
      <w:r>
        <w:rPr>
          <w:spacing w:val="-10"/>
        </w:rPr>
        <w:t> </w:t>
      </w:r>
      <w:r>
        <w:rPr/>
        <w:t>dalam</w:t>
      </w:r>
      <w:r>
        <w:rPr>
          <w:spacing w:val="-8"/>
        </w:rPr>
        <w:t> </w:t>
      </w:r>
      <w:r>
        <w:rPr/>
        <w:t>tiga</w:t>
      </w:r>
      <w:r>
        <w:rPr>
          <w:spacing w:val="-10"/>
        </w:rPr>
        <w:t> </w:t>
      </w:r>
      <w:r>
        <w:rPr/>
        <w:t>kejadian</w:t>
      </w:r>
      <w:r>
        <w:rPr>
          <w:spacing w:val="-11"/>
        </w:rPr>
        <w:t> </w:t>
      </w:r>
      <w:r>
        <w:rPr/>
        <w:t>terpisah.</w:t>
      </w:r>
      <w:r>
        <w:rPr>
          <w:spacing w:val="-11"/>
        </w:rPr>
        <w:t> </w:t>
      </w:r>
      <w:r>
        <w:rPr/>
        <w:t>Insiden</w:t>
      </w:r>
      <w:r>
        <w:rPr>
          <w:spacing w:val="-11"/>
        </w:rPr>
        <w:t> </w:t>
      </w:r>
      <w:r>
        <w:rPr/>
        <w:t>di</w:t>
      </w:r>
      <w:r>
        <w:rPr>
          <w:spacing w:val="-12"/>
        </w:rPr>
        <w:t> </w:t>
      </w:r>
      <w:r>
        <w:rPr/>
        <w:t>Kilang</w:t>
      </w:r>
      <w:r>
        <w:rPr>
          <w:spacing w:val="-11"/>
        </w:rPr>
        <w:t> </w:t>
      </w:r>
      <w:r>
        <w:rPr/>
        <w:t>Pertamina</w:t>
      </w:r>
      <w:r>
        <w:rPr>
          <w:spacing w:val="-10"/>
        </w:rPr>
        <w:t> </w:t>
      </w:r>
      <w:r>
        <w:rPr/>
        <w:t>RU</w:t>
      </w:r>
      <w:r>
        <w:rPr>
          <w:spacing w:val="-11"/>
        </w:rPr>
        <w:t> </w:t>
      </w:r>
      <w:r>
        <w:rPr/>
        <w:t>VI</w:t>
      </w:r>
      <w:r>
        <w:rPr>
          <w:spacing w:val="-13"/>
        </w:rPr>
        <w:t> </w:t>
      </w:r>
      <w:r>
        <w:rPr/>
        <w:t>Balongan pada 29 Maret 2021 menjadi salah satu peristiwa paling fatal karena menghanguskan tiga tangki sekaligus menewaskan</w:t>
      </w:r>
      <w:r>
        <w:rPr>
          <w:spacing w:val="-7"/>
        </w:rPr>
        <w:t> </w:t>
      </w:r>
      <w:r>
        <w:rPr/>
        <w:t>satu</w:t>
      </w:r>
      <w:r>
        <w:rPr>
          <w:spacing w:val="-3"/>
        </w:rPr>
        <w:t> </w:t>
      </w:r>
      <w:r>
        <w:rPr/>
        <w:t>orang</w:t>
      </w:r>
      <w:r>
        <w:rPr>
          <w:spacing w:val="-2"/>
        </w:rPr>
        <w:t> </w:t>
      </w:r>
      <w:r>
        <w:rPr/>
        <w:t>dan</w:t>
      </w:r>
      <w:r>
        <w:rPr>
          <w:spacing w:val="-2"/>
        </w:rPr>
        <w:t> </w:t>
      </w:r>
      <w:r>
        <w:rPr/>
        <w:t>melukai</w:t>
      </w:r>
      <w:r>
        <w:rPr>
          <w:spacing w:val="-3"/>
        </w:rPr>
        <w:t> </w:t>
      </w:r>
      <w:r>
        <w:rPr/>
        <w:t>14</w:t>
      </w:r>
      <w:r>
        <w:rPr>
          <w:spacing w:val="-2"/>
        </w:rPr>
        <w:t> </w:t>
      </w:r>
      <w:r>
        <w:rPr/>
        <w:t>orang</w:t>
      </w:r>
      <w:r>
        <w:rPr>
          <w:spacing w:val="-2"/>
        </w:rPr>
        <w:t> </w:t>
      </w:r>
      <w:r>
        <w:rPr/>
        <w:t>lainnya</w:t>
      </w:r>
      <w:r>
        <w:rPr>
          <w:spacing w:val="-1"/>
        </w:rPr>
        <w:t> </w:t>
      </w:r>
      <w:r>
        <w:rPr/>
        <w:t>(Utama,</w:t>
      </w:r>
      <w:r>
        <w:rPr>
          <w:spacing w:val="-7"/>
        </w:rPr>
        <w:t> </w:t>
      </w:r>
      <w:r>
        <w:rPr/>
        <w:t>dkk).</w:t>
      </w:r>
      <w:r>
        <w:rPr>
          <w:spacing w:val="-2"/>
        </w:rPr>
        <w:t> </w:t>
      </w:r>
      <w:r>
        <w:rPr/>
        <w:t>Rangkaian</w:t>
      </w:r>
      <w:r>
        <w:rPr>
          <w:spacing w:val="-2"/>
        </w:rPr>
        <w:t> </w:t>
      </w:r>
      <w:r>
        <w:rPr/>
        <w:t>peristiwa tragis</w:t>
      </w:r>
      <w:r>
        <w:rPr>
          <w:spacing w:val="-1"/>
        </w:rPr>
        <w:t> </w:t>
      </w:r>
      <w:r>
        <w:rPr/>
        <w:t>ini</w:t>
      </w:r>
      <w:r>
        <w:rPr>
          <w:spacing w:val="-3"/>
        </w:rPr>
        <w:t> </w:t>
      </w:r>
      <w:r>
        <w:rPr/>
        <w:t>mempertegas urgensi penerapan sistem manajemen keselamatan dan pengendalian risiko kebakaran yang sistematis pada fasilitas penyimpanan cairan mudah terbakar.</w:t>
      </w:r>
    </w:p>
    <w:p>
      <w:pPr>
        <w:pStyle w:val="BodyText"/>
        <w:spacing w:before="1"/>
        <w:ind w:right="131" w:firstLine="425"/>
        <w:jc w:val="both"/>
      </w:pPr>
      <w:r>
        <w:rPr/>
        <w:t>Kondisi kerentanan operasional tersebut menuntut evaluasi keselamatan spesifik di fasilitas Perusahaan Kimia</w:t>
      </w:r>
      <w:r>
        <w:rPr>
          <w:spacing w:val="-2"/>
        </w:rPr>
        <w:t> </w:t>
      </w:r>
      <w:r>
        <w:rPr/>
        <w:t>Gresik.</w:t>
      </w:r>
      <w:r>
        <w:rPr>
          <w:spacing w:val="-2"/>
        </w:rPr>
        <w:t> </w:t>
      </w:r>
      <w:r>
        <w:rPr/>
        <w:t>Perusahaan</w:t>
      </w:r>
      <w:r>
        <w:rPr>
          <w:spacing w:val="-2"/>
        </w:rPr>
        <w:t> </w:t>
      </w:r>
      <w:r>
        <w:rPr/>
        <w:t>ini</w:t>
      </w:r>
      <w:r>
        <w:rPr>
          <w:spacing w:val="-3"/>
        </w:rPr>
        <w:t> </w:t>
      </w:r>
      <w:r>
        <w:rPr/>
        <w:t>menggunakan</w:t>
      </w:r>
      <w:r>
        <w:rPr>
          <w:spacing w:val="-2"/>
        </w:rPr>
        <w:t> </w:t>
      </w:r>
      <w:r>
        <w:rPr/>
        <w:t>tangki</w:t>
      </w:r>
      <w:r>
        <w:rPr>
          <w:spacing w:val="-3"/>
        </w:rPr>
        <w:t> </w:t>
      </w:r>
      <w:r>
        <w:rPr/>
        <w:t>jenis </w:t>
      </w:r>
      <w:r>
        <w:rPr>
          <w:i/>
        </w:rPr>
        <w:t>cone</w:t>
      </w:r>
      <w:r>
        <w:rPr>
          <w:i/>
          <w:spacing w:val="-1"/>
        </w:rPr>
        <w:t> </w:t>
      </w:r>
      <w:r>
        <w:rPr>
          <w:i/>
        </w:rPr>
        <w:t>roof</w:t>
      </w:r>
      <w:r>
        <w:rPr>
          <w:i/>
          <w:spacing w:val="40"/>
        </w:rPr>
        <w:t> </w:t>
      </w:r>
      <w:r>
        <w:rPr/>
        <w:t>dengan</w:t>
      </w:r>
      <w:r>
        <w:rPr>
          <w:spacing w:val="-2"/>
        </w:rPr>
        <w:t> </w:t>
      </w:r>
      <w:r>
        <w:rPr/>
        <w:t>penamaan</w:t>
      </w:r>
      <w:r>
        <w:rPr>
          <w:spacing w:val="-7"/>
        </w:rPr>
        <w:t> </w:t>
      </w:r>
      <w:r>
        <w:rPr/>
        <w:t>TK-725</w:t>
      </w:r>
      <w:r>
        <w:rPr>
          <w:spacing w:val="-2"/>
        </w:rPr>
        <w:t> </w:t>
      </w:r>
      <w:r>
        <w:rPr/>
        <w:t>dan</w:t>
      </w:r>
      <w:r>
        <w:rPr>
          <w:spacing w:val="-2"/>
        </w:rPr>
        <w:t> </w:t>
      </w:r>
      <w:r>
        <w:rPr/>
        <w:t>TK-726</w:t>
      </w:r>
      <w:r>
        <w:rPr>
          <w:spacing w:val="-2"/>
        </w:rPr>
        <w:t> </w:t>
      </w:r>
      <w:r>
        <w:rPr/>
        <w:t>untuk menyimpan bahan isobutanol (IBA). Paparan suhu lingkungan tropis secara kontinu memicu isobutanol cairan kelas IC dengan titik nyala 31°C untuk terus-menerus menghasilkan uap mudah terbakar di ruang atas tangki (</w:t>
      </w:r>
      <w:r>
        <w:rPr>
          <w:i/>
        </w:rPr>
        <w:t>vapor space</w:t>
      </w:r>
      <w:r>
        <w:rPr/>
        <w:t>). Tangki</w:t>
      </w:r>
      <w:r>
        <w:rPr>
          <w:spacing w:val="-1"/>
        </w:rPr>
        <w:t> </w:t>
      </w:r>
      <w:r>
        <w:rPr/>
        <w:t>isobutanol</w:t>
      </w:r>
      <w:r>
        <w:rPr>
          <w:spacing w:val="-1"/>
        </w:rPr>
        <w:t> </w:t>
      </w:r>
      <w:r>
        <w:rPr/>
        <w:t>saat</w:t>
      </w:r>
      <w:r>
        <w:rPr>
          <w:spacing w:val="-1"/>
        </w:rPr>
        <w:t> </w:t>
      </w:r>
      <w:r>
        <w:rPr/>
        <w:t>ini</w:t>
      </w:r>
      <w:r>
        <w:rPr>
          <w:spacing w:val="-1"/>
        </w:rPr>
        <w:t> </w:t>
      </w:r>
      <w:r>
        <w:rPr/>
        <w:t>hanya dilindungi oleh </w:t>
      </w:r>
      <w:r>
        <w:rPr>
          <w:i/>
        </w:rPr>
        <w:t>foam chamber </w:t>
      </w:r>
      <w:r>
        <w:rPr/>
        <w:t>sebagai</w:t>
      </w:r>
      <w:r>
        <w:rPr>
          <w:spacing w:val="-1"/>
        </w:rPr>
        <w:t> </w:t>
      </w:r>
      <w:r>
        <w:rPr/>
        <w:t>sistem</w:t>
      </w:r>
      <w:r>
        <w:rPr>
          <w:spacing w:val="-1"/>
        </w:rPr>
        <w:t> </w:t>
      </w:r>
      <w:r>
        <w:rPr/>
        <w:t>pemadaman utama dan jaringan hidran sebagai sarana penanggulangan eksternal. Perusahaan belum melengkapi fasilitas krusial tersebut dengan sistem pendingin (</w:t>
      </w:r>
      <w:r>
        <w:rPr>
          <w:i/>
        </w:rPr>
        <w:t>cooling system</w:t>
      </w:r>
      <w:r>
        <w:rPr/>
        <w:t>) yang berfungsi mengendalikan kenaikan temperatur dinding tangki saat terjadi paparan panas. Shaluf dkk. (2024) juga menemukan bahwa radiasi termal dari tangki sumber kebakaran</w:t>
      </w:r>
      <w:r>
        <w:rPr>
          <w:spacing w:val="-1"/>
        </w:rPr>
        <w:t> </w:t>
      </w:r>
      <w:r>
        <w:rPr/>
        <w:t>dapat</w:t>
      </w:r>
      <w:r>
        <w:rPr>
          <w:spacing w:val="-2"/>
        </w:rPr>
        <w:t> </w:t>
      </w:r>
      <w:r>
        <w:rPr/>
        <w:t>melebihi</w:t>
      </w:r>
      <w:r>
        <w:rPr>
          <w:spacing w:val="-2"/>
        </w:rPr>
        <w:t> </w:t>
      </w:r>
      <w:r>
        <w:rPr/>
        <w:t>ambang</w:t>
      </w:r>
      <w:r>
        <w:rPr>
          <w:spacing w:val="-1"/>
        </w:rPr>
        <w:t> </w:t>
      </w:r>
      <w:r>
        <w:rPr/>
        <w:t>batas kerusakan</w:t>
      </w:r>
      <w:r>
        <w:rPr>
          <w:spacing w:val="-1"/>
        </w:rPr>
        <w:t> </w:t>
      </w:r>
      <w:r>
        <w:rPr/>
        <w:t>pada tangki</w:t>
      </w:r>
      <w:r>
        <w:rPr>
          <w:spacing w:val="-2"/>
        </w:rPr>
        <w:t> </w:t>
      </w:r>
      <w:r>
        <w:rPr/>
        <w:t>di</w:t>
      </w:r>
      <w:r>
        <w:rPr>
          <w:spacing w:val="-2"/>
        </w:rPr>
        <w:t> </w:t>
      </w:r>
      <w:r>
        <w:rPr/>
        <w:t>sekitarnya sehingga meningkatkan</w:t>
      </w:r>
      <w:r>
        <w:rPr>
          <w:spacing w:val="-1"/>
        </w:rPr>
        <w:t> </w:t>
      </w:r>
      <w:r>
        <w:rPr/>
        <w:t>probabilitas terjadinya penyebaran kebakaran. penelitian oleh Bao dkk. (2023) melalui simulasi </w:t>
      </w:r>
      <w:r>
        <w:rPr>
          <w:i/>
        </w:rPr>
        <w:t>Computational Fluid Dynamics </w:t>
      </w:r>
      <w:r>
        <w:rPr/>
        <w:t>(CFD) menunjukkan bahwa peningkatan temperatur</w:t>
      </w:r>
      <w:r>
        <w:rPr>
          <w:spacing w:val="-3"/>
        </w:rPr>
        <w:t> </w:t>
      </w:r>
      <w:r>
        <w:rPr/>
        <w:t>dinding tangki akibat paparan api eksternal dapat berlangsung sangat cepat dan berpotensi menyebabkan kegagalan material apabila tidak dilakukan tindakan pendinginan darurat. Penelitian tersebut merekomendasikan penggunaan sistem pendingin aktif untuk mempertahankan integritas struktur tangki selama kejadian kebakaran.</w:t>
      </w:r>
    </w:p>
    <w:p>
      <w:pPr>
        <w:pStyle w:val="BodyText"/>
        <w:spacing w:before="1"/>
        <w:ind w:right="132" w:firstLine="425"/>
        <w:jc w:val="right"/>
      </w:pPr>
      <w:r>
        <w:rPr/>
        <w:t>Ketiadaan</w:t>
      </w:r>
      <w:r>
        <w:rPr>
          <w:spacing w:val="-12"/>
        </w:rPr>
        <w:t> </w:t>
      </w:r>
      <w:r>
        <w:rPr/>
        <w:t>sistem</w:t>
      </w:r>
      <w:r>
        <w:rPr>
          <w:spacing w:val="-8"/>
        </w:rPr>
        <w:t> </w:t>
      </w:r>
      <w:r>
        <w:rPr/>
        <w:t>pendingin</w:t>
      </w:r>
      <w:r>
        <w:rPr>
          <w:spacing w:val="-12"/>
        </w:rPr>
        <w:t> </w:t>
      </w:r>
      <w:r>
        <w:rPr/>
        <w:t>ini</w:t>
      </w:r>
      <w:r>
        <w:rPr>
          <w:spacing w:val="-8"/>
        </w:rPr>
        <w:t> </w:t>
      </w:r>
      <w:r>
        <w:rPr/>
        <w:t>sangat</w:t>
      </w:r>
      <w:r>
        <w:rPr>
          <w:spacing w:val="-13"/>
        </w:rPr>
        <w:t> </w:t>
      </w:r>
      <w:r>
        <w:rPr/>
        <w:t>membahayakan</w:t>
      </w:r>
      <w:r>
        <w:rPr>
          <w:spacing w:val="-6"/>
        </w:rPr>
        <w:t> </w:t>
      </w:r>
      <w:r>
        <w:rPr/>
        <w:t>integritas</w:t>
      </w:r>
      <w:r>
        <w:rPr>
          <w:spacing w:val="-10"/>
        </w:rPr>
        <w:t> </w:t>
      </w:r>
      <w:r>
        <w:rPr/>
        <w:t>fasilitas.</w:t>
      </w:r>
      <w:r>
        <w:rPr>
          <w:spacing w:val="-7"/>
        </w:rPr>
        <w:t> </w:t>
      </w:r>
      <w:r>
        <w:rPr/>
        <w:t>Chen</w:t>
      </w:r>
      <w:r>
        <w:rPr>
          <w:spacing w:val="-7"/>
        </w:rPr>
        <w:t> </w:t>
      </w:r>
      <w:r>
        <w:rPr/>
        <w:t>dkk.</w:t>
      </w:r>
      <w:r>
        <w:rPr>
          <w:spacing w:val="-7"/>
        </w:rPr>
        <w:t> </w:t>
      </w:r>
      <w:r>
        <w:rPr/>
        <w:t>(2017)</w:t>
      </w:r>
      <w:r>
        <w:rPr>
          <w:spacing w:val="-9"/>
        </w:rPr>
        <w:t> </w:t>
      </w:r>
      <w:r>
        <w:rPr/>
        <w:t>mengidentifikasi radiasi</w:t>
      </w:r>
      <w:r>
        <w:rPr>
          <w:spacing w:val="-8"/>
        </w:rPr>
        <w:t> </w:t>
      </w:r>
      <w:r>
        <w:rPr/>
        <w:t>termal</w:t>
      </w:r>
      <w:r>
        <w:rPr>
          <w:spacing w:val="-8"/>
        </w:rPr>
        <w:t> </w:t>
      </w:r>
      <w:r>
        <w:rPr/>
        <w:t>dari</w:t>
      </w:r>
      <w:r>
        <w:rPr>
          <w:spacing w:val="-8"/>
        </w:rPr>
        <w:t> </w:t>
      </w:r>
      <w:r>
        <w:rPr/>
        <w:t>kebakaran</w:t>
      </w:r>
      <w:r>
        <w:rPr>
          <w:spacing w:val="-7"/>
        </w:rPr>
        <w:t> </w:t>
      </w:r>
      <w:r>
        <w:rPr/>
        <w:t>tangki</w:t>
      </w:r>
      <w:r>
        <w:rPr>
          <w:spacing w:val="-12"/>
        </w:rPr>
        <w:t> </w:t>
      </w:r>
      <w:r>
        <w:rPr/>
        <w:t>sebagai</w:t>
      </w:r>
      <w:r>
        <w:rPr>
          <w:spacing w:val="-8"/>
        </w:rPr>
        <w:t> </w:t>
      </w:r>
      <w:r>
        <w:rPr/>
        <w:t>pemicu</w:t>
      </w:r>
      <w:r>
        <w:rPr>
          <w:spacing w:val="-7"/>
        </w:rPr>
        <w:t> </w:t>
      </w:r>
      <w:r>
        <w:rPr/>
        <w:t>utama</w:t>
      </w:r>
      <w:r>
        <w:rPr>
          <w:spacing w:val="-10"/>
        </w:rPr>
        <w:t> </w:t>
      </w:r>
      <w:r>
        <w:rPr/>
        <w:t>eskalasi</w:t>
      </w:r>
      <w:r>
        <w:rPr>
          <w:spacing w:val="-8"/>
        </w:rPr>
        <w:t> </w:t>
      </w:r>
      <w:r>
        <w:rPr/>
        <w:t>penyebaran</w:t>
      </w:r>
      <w:r>
        <w:rPr>
          <w:spacing w:val="-11"/>
        </w:rPr>
        <w:t> </w:t>
      </w:r>
      <w:r>
        <w:rPr/>
        <w:t>api</w:t>
      </w:r>
      <w:r>
        <w:rPr>
          <w:spacing w:val="-8"/>
        </w:rPr>
        <w:t> </w:t>
      </w:r>
      <w:r>
        <w:rPr/>
        <w:t>yang</w:t>
      </w:r>
      <w:r>
        <w:rPr>
          <w:spacing w:val="-7"/>
        </w:rPr>
        <w:t> </w:t>
      </w:r>
      <w:r>
        <w:rPr/>
        <w:t>mengancam</w:t>
      </w:r>
      <w:r>
        <w:rPr>
          <w:spacing w:val="-8"/>
        </w:rPr>
        <w:t> </w:t>
      </w:r>
      <w:r>
        <w:rPr/>
        <w:t>keselamatan personel</w:t>
      </w:r>
      <w:r>
        <w:rPr>
          <w:spacing w:val="40"/>
        </w:rPr>
        <w:t> </w:t>
      </w:r>
      <w:r>
        <w:rPr/>
        <w:t>dan</w:t>
      </w:r>
      <w:r>
        <w:rPr>
          <w:spacing w:val="37"/>
        </w:rPr>
        <w:t> </w:t>
      </w:r>
      <w:r>
        <w:rPr/>
        <w:t>aset</w:t>
      </w:r>
      <w:r>
        <w:rPr>
          <w:spacing w:val="40"/>
        </w:rPr>
        <w:t> </w:t>
      </w:r>
      <w:r>
        <w:rPr/>
        <w:t>di</w:t>
      </w:r>
      <w:r>
        <w:rPr>
          <w:spacing w:val="37"/>
        </w:rPr>
        <w:t> </w:t>
      </w:r>
      <w:r>
        <w:rPr/>
        <w:t>sekitarnya.</w:t>
      </w:r>
      <w:r>
        <w:rPr>
          <w:spacing w:val="40"/>
        </w:rPr>
        <w:t> </w:t>
      </w:r>
      <w:r>
        <w:rPr/>
        <w:t>Paparan</w:t>
      </w:r>
      <w:r>
        <w:rPr>
          <w:spacing w:val="40"/>
        </w:rPr>
        <w:t> </w:t>
      </w:r>
      <w:r>
        <w:rPr/>
        <w:t>radiasi</w:t>
      </w:r>
      <w:r>
        <w:rPr>
          <w:spacing w:val="37"/>
        </w:rPr>
        <w:t> </w:t>
      </w:r>
      <w:r>
        <w:rPr/>
        <w:t>panas</w:t>
      </w:r>
      <w:r>
        <w:rPr>
          <w:spacing w:val="40"/>
        </w:rPr>
        <w:t> </w:t>
      </w:r>
      <w:r>
        <w:rPr/>
        <w:t>tinggi</w:t>
      </w:r>
      <w:r>
        <w:rPr>
          <w:spacing w:val="40"/>
        </w:rPr>
        <w:t> </w:t>
      </w:r>
      <w:r>
        <w:rPr/>
        <w:t>berpotensi</w:t>
      </w:r>
      <w:r>
        <w:rPr>
          <w:spacing w:val="40"/>
        </w:rPr>
        <w:t> </w:t>
      </w:r>
      <w:r>
        <w:rPr/>
        <w:t>memicu</w:t>
      </w:r>
      <w:r>
        <w:rPr>
          <w:spacing w:val="37"/>
        </w:rPr>
        <w:t> </w:t>
      </w:r>
      <w:r>
        <w:rPr/>
        <w:t>kegagalan</w:t>
      </w:r>
      <w:r>
        <w:rPr>
          <w:spacing w:val="37"/>
        </w:rPr>
        <w:t> </w:t>
      </w:r>
      <w:r>
        <w:rPr/>
        <w:t>struktur</w:t>
      </w:r>
      <w:r>
        <w:rPr>
          <w:spacing w:val="40"/>
        </w:rPr>
        <w:t> </w:t>
      </w:r>
      <w:r>
        <w:rPr/>
        <w:t>tangki, deformasi material, hingga kebakaran lanjutan pada tangki yang berdekatan. Standar keselamatan internasional seperti</w:t>
      </w:r>
      <w:r>
        <w:rPr>
          <w:spacing w:val="-13"/>
        </w:rPr>
        <w:t> </w:t>
      </w:r>
      <w:r>
        <w:rPr>
          <w:i/>
        </w:rPr>
        <w:t>National</w:t>
      </w:r>
      <w:r>
        <w:rPr>
          <w:i/>
          <w:spacing w:val="-12"/>
        </w:rPr>
        <w:t> </w:t>
      </w:r>
      <w:r>
        <w:rPr>
          <w:i/>
        </w:rPr>
        <w:t>Fire</w:t>
      </w:r>
      <w:r>
        <w:rPr>
          <w:i/>
          <w:spacing w:val="-13"/>
        </w:rPr>
        <w:t> </w:t>
      </w:r>
      <w:r>
        <w:rPr>
          <w:i/>
        </w:rPr>
        <w:t>Protection</w:t>
      </w:r>
      <w:r>
        <w:rPr>
          <w:i/>
          <w:spacing w:val="-12"/>
        </w:rPr>
        <w:t> </w:t>
      </w:r>
      <w:r>
        <w:rPr>
          <w:i/>
        </w:rPr>
        <w:t>Association</w:t>
      </w:r>
      <w:r>
        <w:rPr>
          <w:i/>
          <w:spacing w:val="-13"/>
        </w:rPr>
        <w:t> </w:t>
      </w:r>
      <w:r>
        <w:rPr/>
        <w:t>(NFPA)</w:t>
      </w:r>
      <w:r>
        <w:rPr>
          <w:spacing w:val="-12"/>
        </w:rPr>
        <w:t> </w:t>
      </w:r>
      <w:r>
        <w:rPr/>
        <w:t>15</w:t>
      </w:r>
      <w:r>
        <w:rPr>
          <w:spacing w:val="-13"/>
        </w:rPr>
        <w:t> </w:t>
      </w:r>
      <w:r>
        <w:rPr/>
        <w:t>dan</w:t>
      </w:r>
      <w:r>
        <w:rPr>
          <w:spacing w:val="-12"/>
        </w:rPr>
        <w:t> </w:t>
      </w:r>
      <w:r>
        <w:rPr>
          <w:i/>
        </w:rPr>
        <w:t>American</w:t>
      </w:r>
      <w:r>
        <w:rPr>
          <w:i/>
          <w:spacing w:val="-13"/>
        </w:rPr>
        <w:t> </w:t>
      </w:r>
      <w:r>
        <w:rPr>
          <w:i/>
        </w:rPr>
        <w:t>Petroleum</w:t>
      </w:r>
      <w:r>
        <w:rPr>
          <w:i/>
          <w:spacing w:val="-12"/>
        </w:rPr>
        <w:t> </w:t>
      </w:r>
      <w:r>
        <w:rPr>
          <w:i/>
        </w:rPr>
        <w:t>Institute</w:t>
      </w:r>
      <w:r>
        <w:rPr>
          <w:i/>
          <w:spacing w:val="-13"/>
        </w:rPr>
        <w:t> </w:t>
      </w:r>
      <w:r>
        <w:rPr/>
        <w:t>(API)</w:t>
      </w:r>
      <w:r>
        <w:rPr>
          <w:spacing w:val="-12"/>
        </w:rPr>
        <w:t> </w:t>
      </w:r>
      <w:r>
        <w:rPr/>
        <w:t>2030</w:t>
      </w:r>
      <w:r>
        <w:rPr>
          <w:spacing w:val="-13"/>
        </w:rPr>
        <w:t> </w:t>
      </w:r>
      <w:r>
        <w:rPr/>
        <w:t>secara</w:t>
      </w:r>
      <w:r>
        <w:rPr>
          <w:spacing w:val="-12"/>
        </w:rPr>
        <w:t> </w:t>
      </w:r>
      <w:r>
        <w:rPr/>
        <w:t>tegas mensyaratkan</w:t>
      </w:r>
      <w:r>
        <w:rPr>
          <w:spacing w:val="-6"/>
        </w:rPr>
        <w:t> </w:t>
      </w:r>
      <w:r>
        <w:rPr/>
        <w:t>instalasi</w:t>
      </w:r>
      <w:r>
        <w:rPr>
          <w:spacing w:val="-4"/>
        </w:rPr>
        <w:t> </w:t>
      </w:r>
      <w:r>
        <w:rPr>
          <w:i/>
        </w:rPr>
        <w:t>water</w:t>
      </w:r>
      <w:r>
        <w:rPr>
          <w:i/>
          <w:spacing w:val="-5"/>
        </w:rPr>
        <w:t> </w:t>
      </w:r>
      <w:r>
        <w:rPr>
          <w:i/>
        </w:rPr>
        <w:t>spray</w:t>
      </w:r>
      <w:r>
        <w:rPr>
          <w:i/>
          <w:spacing w:val="-5"/>
        </w:rPr>
        <w:t> </w:t>
      </w:r>
      <w:r>
        <w:rPr>
          <w:i/>
        </w:rPr>
        <w:t>system</w:t>
      </w:r>
      <w:r>
        <w:rPr>
          <w:i/>
          <w:spacing w:val="-4"/>
        </w:rPr>
        <w:t> </w:t>
      </w:r>
      <w:r>
        <w:rPr/>
        <w:t>sebagai</w:t>
      </w:r>
      <w:r>
        <w:rPr>
          <w:spacing w:val="-7"/>
        </w:rPr>
        <w:t> </w:t>
      </w:r>
      <w:r>
        <w:rPr/>
        <w:t>sistem</w:t>
      </w:r>
      <w:r>
        <w:rPr>
          <w:spacing w:val="-7"/>
        </w:rPr>
        <w:t> </w:t>
      </w:r>
      <w:r>
        <w:rPr/>
        <w:t>pendingin</w:t>
      </w:r>
      <w:r>
        <w:rPr>
          <w:spacing w:val="-6"/>
        </w:rPr>
        <w:t> </w:t>
      </w:r>
      <w:r>
        <w:rPr/>
        <w:t>permukaan</w:t>
      </w:r>
      <w:r>
        <w:rPr>
          <w:spacing w:val="-6"/>
        </w:rPr>
        <w:t> </w:t>
      </w:r>
      <w:r>
        <w:rPr/>
        <w:t>tangki.</w:t>
      </w:r>
      <w:r>
        <w:rPr>
          <w:spacing w:val="-6"/>
        </w:rPr>
        <w:t> </w:t>
      </w:r>
      <w:r>
        <w:rPr/>
        <w:t>Sistem</w:t>
      </w:r>
      <w:r>
        <w:rPr>
          <w:spacing w:val="-7"/>
        </w:rPr>
        <w:t> </w:t>
      </w:r>
      <w:r>
        <w:rPr/>
        <w:t>ini</w:t>
      </w:r>
      <w:r>
        <w:rPr>
          <w:spacing w:val="-7"/>
        </w:rPr>
        <w:t> </w:t>
      </w:r>
      <w:r>
        <w:rPr/>
        <w:t>bekerja</w:t>
      </w:r>
      <w:r>
        <w:rPr>
          <w:spacing w:val="-6"/>
        </w:rPr>
        <w:t> </w:t>
      </w:r>
      <w:r>
        <w:rPr/>
        <w:t>dengan menyemprotkan air</w:t>
      </w:r>
      <w:r>
        <w:rPr>
          <w:spacing w:val="-1"/>
        </w:rPr>
        <w:t> </w:t>
      </w:r>
      <w:r>
        <w:rPr/>
        <w:t>secara merata untuk menyerap panas dan mencegah kegagalan struktur akibat radiasi termal. Penelitian ini merespons kebutuhan mitigasi tersebut dengan melakukan analisis risiko kebakaran secara</w:t>
      </w:r>
      <w:r>
        <w:rPr>
          <w:spacing w:val="80"/>
        </w:rPr>
        <w:t> </w:t>
      </w:r>
      <w:r>
        <w:rPr/>
        <w:t>komprehensif sebagai tahapan awal. Penilaian risiko diaplikasikan menggunakan metode kualitatif Yung (2008) guna</w:t>
      </w:r>
      <w:r>
        <w:rPr>
          <w:spacing w:val="40"/>
        </w:rPr>
        <w:t> </w:t>
      </w:r>
      <w:r>
        <w:rPr/>
        <w:t>mengevaluasi</w:t>
      </w:r>
      <w:r>
        <w:rPr>
          <w:spacing w:val="40"/>
        </w:rPr>
        <w:t> </w:t>
      </w:r>
      <w:r>
        <w:rPr/>
        <w:t>potensi</w:t>
      </w:r>
      <w:r>
        <w:rPr>
          <w:spacing w:val="40"/>
        </w:rPr>
        <w:t> </w:t>
      </w:r>
      <w:r>
        <w:rPr/>
        <w:t>bahaya</w:t>
      </w:r>
      <w:r>
        <w:rPr>
          <w:spacing w:val="40"/>
        </w:rPr>
        <w:t> </w:t>
      </w:r>
      <w:r>
        <w:rPr/>
        <w:t>secara</w:t>
      </w:r>
      <w:r>
        <w:rPr>
          <w:spacing w:val="40"/>
        </w:rPr>
        <w:t> </w:t>
      </w:r>
      <w:r>
        <w:rPr/>
        <w:t>sistematis,</w:t>
      </w:r>
      <w:r>
        <w:rPr>
          <w:spacing w:val="40"/>
        </w:rPr>
        <w:t> </w:t>
      </w:r>
      <w:r>
        <w:rPr/>
        <w:t>mengukur</w:t>
      </w:r>
      <w:r>
        <w:rPr>
          <w:spacing w:val="40"/>
        </w:rPr>
        <w:t> </w:t>
      </w:r>
      <w:r>
        <w:rPr/>
        <w:t>efektivitas</w:t>
      </w:r>
      <w:r>
        <w:rPr>
          <w:spacing w:val="40"/>
        </w:rPr>
        <w:t> </w:t>
      </w:r>
      <w:r>
        <w:rPr/>
        <w:t>fasilitas</w:t>
      </w:r>
      <w:r>
        <w:rPr>
          <w:spacing w:val="40"/>
        </w:rPr>
        <w:t> </w:t>
      </w:r>
      <w:r>
        <w:rPr/>
        <w:t>proteksi</w:t>
      </w:r>
      <w:r>
        <w:rPr>
          <w:spacing w:val="40"/>
        </w:rPr>
        <w:t> </w:t>
      </w:r>
      <w:r>
        <w:rPr>
          <w:i/>
        </w:rPr>
        <w:t>existing</w:t>
      </w:r>
      <w:r>
        <w:rPr/>
        <w:t>,</w:t>
      </w:r>
      <w:r>
        <w:rPr>
          <w:spacing w:val="40"/>
        </w:rPr>
        <w:t> </w:t>
      </w:r>
      <w:r>
        <w:rPr/>
        <w:t>serta memvalidasi</w:t>
      </w:r>
      <w:r>
        <w:rPr>
          <w:spacing w:val="-2"/>
        </w:rPr>
        <w:t> </w:t>
      </w:r>
      <w:r>
        <w:rPr/>
        <w:t>urgensi</w:t>
      </w:r>
      <w:r>
        <w:rPr>
          <w:spacing w:val="-2"/>
        </w:rPr>
        <w:t> </w:t>
      </w:r>
      <w:r>
        <w:rPr/>
        <w:t>perlindungan</w:t>
      </w:r>
      <w:r>
        <w:rPr>
          <w:spacing w:val="-1"/>
        </w:rPr>
        <w:t> </w:t>
      </w:r>
      <w:r>
        <w:rPr/>
        <w:t>tambahan pada area penyimpan</w:t>
      </w:r>
      <w:r>
        <w:rPr>
          <w:spacing w:val="-1"/>
        </w:rPr>
        <w:t> </w:t>
      </w:r>
      <w:r>
        <w:rPr/>
        <w:t>isobutanol. Analisis risiko</w:t>
      </w:r>
      <w:r>
        <w:rPr>
          <w:spacing w:val="-1"/>
        </w:rPr>
        <w:t> </w:t>
      </w:r>
      <w:r>
        <w:rPr/>
        <w:t>yang</w:t>
      </w:r>
      <w:r>
        <w:rPr>
          <w:spacing w:val="-1"/>
        </w:rPr>
        <w:t> </w:t>
      </w:r>
      <w:r>
        <w:rPr/>
        <w:t>tepat</w:t>
      </w:r>
      <w:r>
        <w:rPr>
          <w:spacing w:val="-1"/>
        </w:rPr>
        <w:t> </w:t>
      </w:r>
      <w:r>
        <w:rPr>
          <w:spacing w:val="-2"/>
        </w:rPr>
        <w:t>menjadi</w:t>
      </w:r>
    </w:p>
    <w:p>
      <w:pPr>
        <w:pStyle w:val="BodyText"/>
        <w:spacing w:before="1"/>
        <w:jc w:val="both"/>
      </w:pPr>
      <w:r>
        <w:rPr/>
        <w:t>landasan</w:t>
      </w:r>
      <w:r>
        <w:rPr>
          <w:spacing w:val="-1"/>
        </w:rPr>
        <w:t> </w:t>
      </w:r>
      <w:r>
        <w:rPr/>
        <w:t>fundamental</w:t>
      </w:r>
      <w:r>
        <w:rPr>
          <w:spacing w:val="-2"/>
        </w:rPr>
        <w:t> </w:t>
      </w:r>
      <w:r>
        <w:rPr/>
        <w:t>dalam</w:t>
      </w:r>
      <w:r>
        <w:rPr>
          <w:spacing w:val="-2"/>
        </w:rPr>
        <w:t> </w:t>
      </w:r>
      <w:r>
        <w:rPr/>
        <w:t>merancang</w:t>
      </w:r>
      <w:r>
        <w:rPr>
          <w:spacing w:val="-1"/>
        </w:rPr>
        <w:t> </w:t>
      </w:r>
      <w:r>
        <w:rPr/>
        <w:t>sistem</w:t>
      </w:r>
      <w:r>
        <w:rPr>
          <w:spacing w:val="-2"/>
        </w:rPr>
        <w:t> </w:t>
      </w:r>
      <w:r>
        <w:rPr/>
        <w:t>proteksi</w:t>
      </w:r>
      <w:r>
        <w:rPr>
          <w:spacing w:val="-2"/>
        </w:rPr>
        <w:t> </w:t>
      </w:r>
      <w:r>
        <w:rPr/>
        <w:t>yang </w:t>
      </w:r>
      <w:r>
        <w:rPr>
          <w:spacing w:val="-2"/>
        </w:rPr>
        <w:t>presisi.</w:t>
      </w:r>
    </w:p>
    <w:p>
      <w:pPr>
        <w:pStyle w:val="BodyText"/>
        <w:ind w:right="134" w:firstLine="425"/>
        <w:jc w:val="both"/>
      </w:pPr>
      <w:r>
        <w:rPr/>
        <w:t>Berdasarkan</w:t>
      </w:r>
      <w:r>
        <w:rPr>
          <w:spacing w:val="-2"/>
        </w:rPr>
        <w:t> </w:t>
      </w:r>
      <w:r>
        <w:rPr/>
        <w:t>hasil</w:t>
      </w:r>
      <w:r>
        <w:rPr>
          <w:spacing w:val="-4"/>
        </w:rPr>
        <w:t> </w:t>
      </w:r>
      <w:r>
        <w:rPr/>
        <w:t>analisis</w:t>
      </w:r>
      <w:r>
        <w:rPr>
          <w:spacing w:val="-1"/>
        </w:rPr>
        <w:t> </w:t>
      </w:r>
      <w:r>
        <w:rPr/>
        <w:t>risiko</w:t>
      </w:r>
      <w:r>
        <w:rPr>
          <w:spacing w:val="-2"/>
        </w:rPr>
        <w:t> </w:t>
      </w:r>
      <w:r>
        <w:rPr/>
        <w:t>tersebut,</w:t>
      </w:r>
      <w:r>
        <w:rPr>
          <w:spacing w:val="-2"/>
        </w:rPr>
        <w:t> </w:t>
      </w:r>
      <w:r>
        <w:rPr/>
        <w:t>fokus</w:t>
      </w:r>
      <w:r>
        <w:rPr>
          <w:spacing w:val="-1"/>
        </w:rPr>
        <w:t> </w:t>
      </w:r>
      <w:r>
        <w:rPr/>
        <w:t>utama</w:t>
      </w:r>
      <w:r>
        <w:rPr>
          <w:spacing w:val="-1"/>
        </w:rPr>
        <w:t> </w:t>
      </w:r>
      <w:r>
        <w:rPr/>
        <w:t>penelitian</w:t>
      </w:r>
      <w:r>
        <w:rPr>
          <w:spacing w:val="-2"/>
        </w:rPr>
        <w:t> </w:t>
      </w:r>
      <w:r>
        <w:rPr/>
        <w:t>dilanjutkan</w:t>
      </w:r>
      <w:r>
        <w:rPr>
          <w:spacing w:val="-2"/>
        </w:rPr>
        <w:t> </w:t>
      </w:r>
      <w:r>
        <w:rPr/>
        <w:t>pada</w:t>
      </w:r>
      <w:r>
        <w:rPr>
          <w:spacing w:val="-1"/>
        </w:rPr>
        <w:t> </w:t>
      </w:r>
      <w:r>
        <w:rPr/>
        <w:t>perancangan </w:t>
      </w:r>
      <w:r>
        <w:rPr>
          <w:i/>
        </w:rPr>
        <w:t>water</w:t>
      </w:r>
      <w:r>
        <w:rPr>
          <w:i/>
          <w:spacing w:val="-1"/>
        </w:rPr>
        <w:t> </w:t>
      </w:r>
      <w:r>
        <w:rPr>
          <w:i/>
        </w:rPr>
        <w:t>spray system </w:t>
      </w:r>
      <w:r>
        <w:rPr/>
        <w:t>untuk tangki isobutanol TK-725 dan TK-726. Perancangan menghitung total kebutuhan perhitungan kebutuhan</w:t>
      </w:r>
      <w:r>
        <w:rPr>
          <w:spacing w:val="-4"/>
        </w:rPr>
        <w:t> </w:t>
      </w:r>
      <w:r>
        <w:rPr/>
        <w:t>air.</w:t>
      </w:r>
      <w:r>
        <w:rPr>
          <w:spacing w:val="-4"/>
        </w:rPr>
        <w:t> </w:t>
      </w:r>
      <w:r>
        <w:rPr/>
        <w:t>Hasil</w:t>
      </w:r>
      <w:r>
        <w:rPr>
          <w:spacing w:val="-6"/>
        </w:rPr>
        <w:t> </w:t>
      </w:r>
      <w:r>
        <w:rPr/>
        <w:t>perancangan</w:t>
      </w:r>
      <w:r>
        <w:rPr>
          <w:spacing w:val="-8"/>
        </w:rPr>
        <w:t> </w:t>
      </w:r>
      <w:r>
        <w:rPr/>
        <w:t>ini</w:t>
      </w:r>
      <w:r>
        <w:rPr>
          <w:spacing w:val="-5"/>
        </w:rPr>
        <w:t> </w:t>
      </w:r>
      <w:r>
        <w:rPr/>
        <w:t>diharapkan</w:t>
      </w:r>
      <w:r>
        <w:rPr>
          <w:spacing w:val="-8"/>
        </w:rPr>
        <w:t> </w:t>
      </w:r>
      <w:r>
        <w:rPr/>
        <w:t>mampu</w:t>
      </w:r>
      <w:r>
        <w:rPr>
          <w:spacing w:val="-4"/>
        </w:rPr>
        <w:t> </w:t>
      </w:r>
      <w:r>
        <w:rPr/>
        <w:t>memberikan</w:t>
      </w:r>
      <w:r>
        <w:rPr>
          <w:spacing w:val="-4"/>
        </w:rPr>
        <w:t> </w:t>
      </w:r>
      <w:r>
        <w:rPr/>
        <w:t>rekomendasi</w:t>
      </w:r>
      <w:r>
        <w:rPr>
          <w:spacing w:val="-9"/>
        </w:rPr>
        <w:t> </w:t>
      </w:r>
      <w:r>
        <w:rPr/>
        <w:t>untuk</w:t>
      </w:r>
      <w:r>
        <w:rPr>
          <w:spacing w:val="-4"/>
        </w:rPr>
        <w:t> </w:t>
      </w:r>
      <w:r>
        <w:rPr/>
        <w:t>meminimalisasi</w:t>
      </w:r>
      <w:r>
        <w:rPr>
          <w:spacing w:val="-5"/>
        </w:rPr>
        <w:t> </w:t>
      </w:r>
      <w:r>
        <w:rPr/>
        <w:t>potensi kerugian, meningkatkan keselamatan pekerja, serta menjamin keberlangsungan operasional industri.</w:t>
      </w:r>
    </w:p>
    <w:p>
      <w:pPr>
        <w:pStyle w:val="Heading2"/>
        <w:numPr>
          <w:ilvl w:val="0"/>
          <w:numId w:val="1"/>
        </w:numPr>
        <w:tabs>
          <w:tab w:pos="546" w:val="left" w:leader="none"/>
        </w:tabs>
        <w:spacing w:line="240" w:lineRule="auto" w:before="221" w:after="0"/>
        <w:ind w:left="546" w:right="0" w:hanging="405"/>
        <w:jc w:val="left"/>
      </w:pPr>
      <w:r>
        <w:rPr>
          <w:spacing w:val="-2"/>
        </w:rPr>
        <w:t>METODE</w:t>
      </w:r>
    </w:p>
    <w:p>
      <w:pPr>
        <w:pStyle w:val="Heading3"/>
        <w:ind w:left="546"/>
      </w:pPr>
      <w:r>
        <w:rPr/>
        <w:t>Fire</w:t>
      </w:r>
      <w:r>
        <w:rPr>
          <w:spacing w:val="-1"/>
        </w:rPr>
        <w:t> </w:t>
      </w:r>
      <w:r>
        <w:rPr/>
        <w:t>Risk</w:t>
      </w:r>
      <w:r>
        <w:rPr>
          <w:spacing w:val="-1"/>
        </w:rPr>
        <w:t> </w:t>
      </w:r>
      <w:r>
        <w:rPr>
          <w:spacing w:val="-2"/>
        </w:rPr>
        <w:t>Assessment</w:t>
      </w:r>
    </w:p>
    <w:p>
      <w:pPr>
        <w:pStyle w:val="BodyText"/>
        <w:spacing w:before="120"/>
        <w:ind w:right="134" w:firstLine="405"/>
        <w:jc w:val="both"/>
      </w:pPr>
      <w:r>
        <w:rPr/>
        <w:t>Menurut NFPA 551 Tahun 2022 mendefinisikan </w:t>
      </w:r>
      <w:r>
        <w:rPr>
          <w:i/>
        </w:rPr>
        <w:t>Fire Risk Assessment </w:t>
      </w:r>
      <w:r>
        <w:rPr/>
        <w:t>sebagai proses sistematis untuk mengidentifikasi,</w:t>
      </w:r>
      <w:r>
        <w:rPr>
          <w:spacing w:val="-10"/>
        </w:rPr>
        <w:t> </w:t>
      </w:r>
      <w:r>
        <w:rPr/>
        <w:t>menganalisis,</w:t>
      </w:r>
      <w:r>
        <w:rPr>
          <w:spacing w:val="-9"/>
        </w:rPr>
        <w:t> </w:t>
      </w:r>
      <w:r>
        <w:rPr/>
        <w:t>dan</w:t>
      </w:r>
      <w:r>
        <w:rPr>
          <w:spacing w:val="-13"/>
        </w:rPr>
        <w:t> </w:t>
      </w:r>
      <w:r>
        <w:rPr/>
        <w:t>mengevaluasi</w:t>
      </w:r>
      <w:r>
        <w:rPr>
          <w:spacing w:val="-9"/>
        </w:rPr>
        <w:t> </w:t>
      </w:r>
      <w:r>
        <w:rPr/>
        <w:t>risiko</w:t>
      </w:r>
      <w:r>
        <w:rPr>
          <w:spacing w:val="-13"/>
        </w:rPr>
        <w:t> </w:t>
      </w:r>
      <w:r>
        <w:rPr/>
        <w:t>kebakaran</w:t>
      </w:r>
      <w:r>
        <w:rPr>
          <w:spacing w:val="-8"/>
        </w:rPr>
        <w:t> </w:t>
      </w:r>
      <w:r>
        <w:rPr/>
        <w:t>berdasarkan</w:t>
      </w:r>
      <w:r>
        <w:rPr>
          <w:spacing w:val="-13"/>
        </w:rPr>
        <w:t> </w:t>
      </w:r>
      <w:r>
        <w:rPr/>
        <w:t>kemungkinan</w:t>
      </w:r>
      <w:r>
        <w:rPr>
          <w:spacing w:val="-8"/>
        </w:rPr>
        <w:t> </w:t>
      </w:r>
      <w:r>
        <w:rPr/>
        <w:t>terjadinya</w:t>
      </w:r>
      <w:r>
        <w:rPr>
          <w:spacing w:val="-12"/>
        </w:rPr>
        <w:t> </w:t>
      </w:r>
      <w:r>
        <w:rPr/>
        <w:t>kejadian (</w:t>
      </w:r>
      <w:r>
        <w:rPr>
          <w:i/>
        </w:rPr>
        <w:t>likelihood</w:t>
      </w:r>
      <w:r>
        <w:rPr/>
        <w:t>)</w:t>
      </w:r>
      <w:r>
        <w:rPr>
          <w:spacing w:val="-4"/>
        </w:rPr>
        <w:t> </w:t>
      </w:r>
      <w:r>
        <w:rPr/>
        <w:t>serta</w:t>
      </w:r>
      <w:r>
        <w:rPr>
          <w:spacing w:val="-2"/>
        </w:rPr>
        <w:t> </w:t>
      </w:r>
      <w:r>
        <w:rPr/>
        <w:t>keparahan</w:t>
      </w:r>
      <w:r>
        <w:rPr>
          <w:spacing w:val="-2"/>
        </w:rPr>
        <w:t> </w:t>
      </w:r>
      <w:r>
        <w:rPr/>
        <w:t>dampak</w:t>
      </w:r>
      <w:r>
        <w:rPr>
          <w:spacing w:val="-2"/>
        </w:rPr>
        <w:t> </w:t>
      </w:r>
      <w:r>
        <w:rPr/>
        <w:t>yang</w:t>
      </w:r>
      <w:r>
        <w:rPr>
          <w:spacing w:val="-2"/>
        </w:rPr>
        <w:t> </w:t>
      </w:r>
      <w:r>
        <w:rPr/>
        <w:t>ditimbulkan</w:t>
      </w:r>
      <w:r>
        <w:rPr>
          <w:spacing w:val="-2"/>
        </w:rPr>
        <w:t> </w:t>
      </w:r>
      <w:r>
        <w:rPr/>
        <w:t>(</w:t>
      </w:r>
      <w:r>
        <w:rPr>
          <w:i/>
        </w:rPr>
        <w:t>severity</w:t>
      </w:r>
      <w:r>
        <w:rPr/>
        <w:t>).</w:t>
      </w:r>
      <w:r>
        <w:rPr>
          <w:spacing w:val="-2"/>
        </w:rPr>
        <w:t> </w:t>
      </w:r>
      <w:r>
        <w:rPr/>
        <w:t>Pada</w:t>
      </w:r>
      <w:r>
        <w:rPr>
          <w:spacing w:val="-1"/>
        </w:rPr>
        <w:t> </w:t>
      </w:r>
      <w:r>
        <w:rPr/>
        <w:t>penelitian</w:t>
      </w:r>
      <w:r>
        <w:rPr>
          <w:spacing w:val="-2"/>
        </w:rPr>
        <w:t> </w:t>
      </w:r>
      <w:r>
        <w:rPr/>
        <w:t>ini</w:t>
      </w:r>
      <w:r>
        <w:rPr>
          <w:spacing w:val="-3"/>
        </w:rPr>
        <w:t> </w:t>
      </w:r>
      <w:r>
        <w:rPr/>
        <w:t>digunakan</w:t>
      </w:r>
      <w:r>
        <w:rPr>
          <w:spacing w:val="-2"/>
        </w:rPr>
        <w:t> </w:t>
      </w:r>
      <w:r>
        <w:rPr/>
        <w:t>metode</w:t>
      </w:r>
      <w:r>
        <w:rPr>
          <w:spacing w:val="-1"/>
        </w:rPr>
        <w:t> </w:t>
      </w:r>
      <w:r>
        <w:rPr/>
        <w:t>kualitatif yang berfokus pada identifikasi potensi bahaya dan penilaian tingkat risiko tanpa melakukan perhitungan kuantitatif secara rinci. Metode ini umumnya digunakan sebagai tahap awal analisis risiko untuk menyusun skenario kebakaran dan menentukan kebutuhan pengendalian yang diperlukan.</w:t>
      </w:r>
    </w:p>
    <w:p>
      <w:pPr>
        <w:spacing w:before="0"/>
        <w:ind w:left="141" w:right="144" w:firstLine="405"/>
        <w:jc w:val="both"/>
        <w:rPr>
          <w:sz w:val="20"/>
        </w:rPr>
      </w:pPr>
      <w:r>
        <w:rPr>
          <w:sz w:val="20"/>
        </w:rPr>
        <w:t>Evaluasi risiko kebakaran pada penelitian ini dilakukan dengan menggunakan metode kualitatif yang mengacu</w:t>
      </w:r>
      <w:r>
        <w:rPr>
          <w:spacing w:val="-4"/>
          <w:sz w:val="20"/>
        </w:rPr>
        <w:t> </w:t>
      </w:r>
      <w:r>
        <w:rPr>
          <w:sz w:val="20"/>
        </w:rPr>
        <w:t>pada</w:t>
      </w:r>
      <w:r>
        <w:rPr>
          <w:spacing w:val="-1"/>
          <w:sz w:val="20"/>
        </w:rPr>
        <w:t> </w:t>
      </w:r>
      <w:r>
        <w:rPr>
          <w:sz w:val="20"/>
        </w:rPr>
        <w:t>buku</w:t>
      </w:r>
      <w:r>
        <w:rPr>
          <w:spacing w:val="-1"/>
          <w:sz w:val="20"/>
        </w:rPr>
        <w:t> </w:t>
      </w:r>
      <w:r>
        <w:rPr>
          <w:i/>
          <w:sz w:val="20"/>
        </w:rPr>
        <w:t>Principles of</w:t>
      </w:r>
      <w:r>
        <w:rPr>
          <w:i/>
          <w:spacing w:val="-3"/>
          <w:sz w:val="20"/>
        </w:rPr>
        <w:t> </w:t>
      </w:r>
      <w:r>
        <w:rPr>
          <w:i/>
          <w:sz w:val="20"/>
        </w:rPr>
        <w:t>Fire</w:t>
      </w:r>
      <w:r>
        <w:rPr>
          <w:i/>
          <w:spacing w:val="-1"/>
          <w:sz w:val="20"/>
        </w:rPr>
        <w:t> </w:t>
      </w:r>
      <w:r>
        <w:rPr>
          <w:i/>
          <w:sz w:val="20"/>
        </w:rPr>
        <w:t>Risk</w:t>
      </w:r>
      <w:r>
        <w:rPr>
          <w:i/>
          <w:spacing w:val="-1"/>
          <w:sz w:val="20"/>
        </w:rPr>
        <w:t> </w:t>
      </w:r>
      <w:r>
        <w:rPr>
          <w:i/>
          <w:sz w:val="20"/>
        </w:rPr>
        <w:t>Assessment</w:t>
      </w:r>
      <w:r>
        <w:rPr>
          <w:i/>
          <w:spacing w:val="-2"/>
          <w:sz w:val="20"/>
        </w:rPr>
        <w:t> </w:t>
      </w:r>
      <w:r>
        <w:rPr>
          <w:i/>
          <w:sz w:val="20"/>
        </w:rPr>
        <w:t>in</w:t>
      </w:r>
      <w:r>
        <w:rPr>
          <w:i/>
          <w:spacing w:val="-2"/>
          <w:sz w:val="20"/>
        </w:rPr>
        <w:t> </w:t>
      </w:r>
      <w:r>
        <w:rPr>
          <w:i/>
          <w:sz w:val="20"/>
        </w:rPr>
        <w:t>Buildings</w:t>
      </w:r>
      <w:r>
        <w:rPr>
          <w:i/>
          <w:spacing w:val="4"/>
          <w:sz w:val="20"/>
        </w:rPr>
        <w:t> </w:t>
      </w:r>
      <w:r>
        <w:rPr>
          <w:sz w:val="20"/>
        </w:rPr>
        <w:t>(Yung,</w:t>
      </w:r>
      <w:r>
        <w:rPr>
          <w:spacing w:val="-2"/>
          <w:sz w:val="20"/>
        </w:rPr>
        <w:t> </w:t>
      </w:r>
      <w:r>
        <w:rPr>
          <w:sz w:val="20"/>
        </w:rPr>
        <w:t>2008).</w:t>
      </w:r>
      <w:r>
        <w:rPr>
          <w:spacing w:val="-1"/>
          <w:sz w:val="20"/>
        </w:rPr>
        <w:t> </w:t>
      </w:r>
      <w:r>
        <w:rPr>
          <w:sz w:val="20"/>
        </w:rPr>
        <w:t>Penilaian</w:t>
      </w:r>
      <w:r>
        <w:rPr>
          <w:spacing w:val="-2"/>
          <w:sz w:val="20"/>
        </w:rPr>
        <w:t> </w:t>
      </w:r>
      <w:r>
        <w:rPr>
          <w:sz w:val="20"/>
        </w:rPr>
        <w:t>risiko</w:t>
      </w:r>
      <w:r>
        <w:rPr>
          <w:spacing w:val="-2"/>
          <w:sz w:val="20"/>
        </w:rPr>
        <w:t> </w:t>
      </w:r>
      <w:r>
        <w:rPr>
          <w:sz w:val="20"/>
        </w:rPr>
        <w:t>kebakaran</w:t>
      </w:r>
      <w:r>
        <w:rPr>
          <w:spacing w:val="-1"/>
          <w:sz w:val="20"/>
        </w:rPr>
        <w:t> </w:t>
      </w:r>
      <w:r>
        <w:rPr>
          <w:spacing w:val="-5"/>
          <w:sz w:val="20"/>
        </w:rPr>
        <w:t>ini</w:t>
      </w:r>
    </w:p>
    <w:p>
      <w:pPr>
        <w:spacing w:after="0"/>
        <w:jc w:val="both"/>
        <w:rPr>
          <w:sz w:val="20"/>
        </w:rPr>
        <w:sectPr>
          <w:pgSz w:w="11910" w:h="16840"/>
          <w:pgMar w:header="960" w:footer="0" w:top="1820" w:bottom="280" w:left="1559" w:right="992"/>
        </w:sectPr>
      </w:pPr>
    </w:p>
    <w:p>
      <w:pPr>
        <w:pStyle w:val="BodyText"/>
        <w:spacing w:before="81"/>
        <w:ind w:left="0" w:right="134"/>
        <w:jc w:val="right"/>
      </w:pPr>
      <w:r>
        <w:rPr/>
        <w:t>dilakukan</w:t>
      </w:r>
      <w:r>
        <w:rPr>
          <w:spacing w:val="-9"/>
        </w:rPr>
        <w:t> </w:t>
      </w:r>
      <w:r>
        <w:rPr/>
        <w:t>menggunakan</w:t>
      </w:r>
      <w:r>
        <w:rPr>
          <w:spacing w:val="-9"/>
        </w:rPr>
        <w:t> </w:t>
      </w:r>
      <w:r>
        <w:rPr/>
        <w:t>lembar</w:t>
      </w:r>
      <w:r>
        <w:rPr>
          <w:spacing w:val="-11"/>
        </w:rPr>
        <w:t> </w:t>
      </w:r>
      <w:r>
        <w:rPr/>
        <w:t>kerja</w:t>
      </w:r>
      <w:r>
        <w:rPr>
          <w:spacing w:val="-6"/>
        </w:rPr>
        <w:t> </w:t>
      </w:r>
      <w:r>
        <w:rPr>
          <w:i/>
        </w:rPr>
        <w:t>Fire</w:t>
      </w:r>
      <w:r>
        <w:rPr>
          <w:i/>
          <w:spacing w:val="-8"/>
        </w:rPr>
        <w:t> </w:t>
      </w:r>
      <w:r>
        <w:rPr>
          <w:i/>
        </w:rPr>
        <w:t>Risk</w:t>
      </w:r>
      <w:r>
        <w:rPr>
          <w:i/>
          <w:spacing w:val="-8"/>
        </w:rPr>
        <w:t> </w:t>
      </w:r>
      <w:r>
        <w:rPr>
          <w:i/>
        </w:rPr>
        <w:t>Assessment</w:t>
      </w:r>
      <w:r>
        <w:rPr>
          <w:i/>
          <w:spacing w:val="-7"/>
        </w:rPr>
        <w:t> </w:t>
      </w:r>
      <w:r>
        <w:rPr/>
        <w:t>pada</w:t>
      </w:r>
      <w:r>
        <w:rPr>
          <w:spacing w:val="-8"/>
        </w:rPr>
        <w:t> </w:t>
      </w:r>
      <w:r>
        <w:rPr/>
        <w:t>Tabel</w:t>
      </w:r>
      <w:r>
        <w:rPr>
          <w:spacing w:val="-10"/>
        </w:rPr>
        <w:t> </w:t>
      </w:r>
      <w:r>
        <w:rPr/>
        <w:t>4.</w:t>
      </w:r>
      <w:r>
        <w:rPr>
          <w:spacing w:val="-9"/>
        </w:rPr>
        <w:t> </w:t>
      </w:r>
      <w:r>
        <w:rPr/>
        <w:t>Proses</w:t>
      </w:r>
      <w:r>
        <w:rPr>
          <w:spacing w:val="-8"/>
        </w:rPr>
        <w:t> </w:t>
      </w:r>
      <w:r>
        <w:rPr/>
        <w:t>dimulai</w:t>
      </w:r>
      <w:r>
        <w:rPr>
          <w:spacing w:val="-10"/>
        </w:rPr>
        <w:t> </w:t>
      </w:r>
      <w:r>
        <w:rPr/>
        <w:t>dengan</w:t>
      </w:r>
      <w:r>
        <w:rPr>
          <w:spacing w:val="-13"/>
        </w:rPr>
        <w:t> </w:t>
      </w:r>
      <w:r>
        <w:rPr/>
        <w:t>mengidentifikasi </w:t>
      </w:r>
      <w:r>
        <w:rPr>
          <w:i/>
        </w:rPr>
        <w:t>fire</w:t>
      </w:r>
      <w:r>
        <w:rPr>
          <w:i/>
          <w:spacing w:val="40"/>
        </w:rPr>
        <w:t> </w:t>
      </w:r>
      <w:r>
        <w:rPr>
          <w:i/>
        </w:rPr>
        <w:t>hazard</w:t>
      </w:r>
      <w:r>
        <w:rPr/>
        <w:t>,</w:t>
      </w:r>
      <w:r>
        <w:rPr>
          <w:spacing w:val="39"/>
        </w:rPr>
        <w:t> </w:t>
      </w:r>
      <w:r>
        <w:rPr/>
        <w:t>yaitu</w:t>
      </w:r>
      <w:r>
        <w:rPr>
          <w:spacing w:val="39"/>
        </w:rPr>
        <w:t> </w:t>
      </w:r>
      <w:r>
        <w:rPr/>
        <w:t>mengidentifikasi</w:t>
      </w:r>
      <w:r>
        <w:rPr>
          <w:spacing w:val="39"/>
        </w:rPr>
        <w:t> </w:t>
      </w:r>
      <w:r>
        <w:rPr/>
        <w:t>seluruh</w:t>
      </w:r>
      <w:r>
        <w:rPr>
          <w:spacing w:val="39"/>
        </w:rPr>
        <w:t> </w:t>
      </w:r>
      <w:r>
        <w:rPr/>
        <w:t>potensi</w:t>
      </w:r>
      <w:r>
        <w:rPr>
          <w:spacing w:val="39"/>
        </w:rPr>
        <w:t> </w:t>
      </w:r>
      <w:r>
        <w:rPr/>
        <w:t>bahaya</w:t>
      </w:r>
      <w:r>
        <w:rPr>
          <w:spacing w:val="40"/>
        </w:rPr>
        <w:t> </w:t>
      </w:r>
      <w:r>
        <w:rPr/>
        <w:t>kebakaran</w:t>
      </w:r>
      <w:r>
        <w:rPr>
          <w:spacing w:val="39"/>
        </w:rPr>
        <w:t> </w:t>
      </w:r>
      <w:r>
        <w:rPr/>
        <w:t>pada</w:t>
      </w:r>
      <w:r>
        <w:rPr>
          <w:spacing w:val="40"/>
        </w:rPr>
        <w:t> </w:t>
      </w:r>
      <w:r>
        <w:rPr/>
        <w:t>objek</w:t>
      </w:r>
      <w:r>
        <w:rPr>
          <w:spacing w:val="39"/>
        </w:rPr>
        <w:t> </w:t>
      </w:r>
      <w:r>
        <w:rPr/>
        <w:t>penelitian,</w:t>
      </w:r>
      <w:r>
        <w:rPr>
          <w:spacing w:val="39"/>
        </w:rPr>
        <w:t> </w:t>
      </w:r>
      <w:r>
        <w:rPr/>
        <w:t>seperti</w:t>
      </w:r>
      <w:r>
        <w:rPr>
          <w:spacing w:val="38"/>
        </w:rPr>
        <w:t> </w:t>
      </w:r>
      <w:r>
        <w:rPr/>
        <w:t>sumber penyalaan, material mudah terbakar, serta kondisi yang berpotensi memicu terjadinya kebakaran. Bahaya yang telah diidentifikasi kemudian dicatat pada kolom</w:t>
      </w:r>
      <w:r>
        <w:rPr>
          <w:spacing w:val="26"/>
        </w:rPr>
        <w:t> </w:t>
      </w:r>
      <w:r>
        <w:rPr>
          <w:i/>
        </w:rPr>
        <w:t>Fire Hazard</w:t>
      </w:r>
      <w:r>
        <w:rPr/>
        <w:t>. Selanjutnya dilakukan identifikasi</w:t>
      </w:r>
      <w:r>
        <w:rPr>
          <w:spacing w:val="24"/>
        </w:rPr>
        <w:t> </w:t>
      </w:r>
      <w:r>
        <w:rPr>
          <w:i/>
        </w:rPr>
        <w:t>existing fire</w:t>
      </w:r>
      <w:r>
        <w:rPr>
          <w:i/>
          <w:spacing w:val="40"/>
        </w:rPr>
        <w:t> </w:t>
      </w:r>
      <w:r>
        <w:rPr>
          <w:i/>
        </w:rPr>
        <w:t>protection</w:t>
      </w:r>
      <w:r>
        <w:rPr/>
        <w:t>,</w:t>
      </w:r>
      <w:r>
        <w:rPr>
          <w:spacing w:val="31"/>
        </w:rPr>
        <w:t> </w:t>
      </w:r>
      <w:r>
        <w:rPr/>
        <w:t>yaitu</w:t>
      </w:r>
      <w:r>
        <w:rPr>
          <w:spacing w:val="31"/>
        </w:rPr>
        <w:t> </w:t>
      </w:r>
      <w:r>
        <w:rPr/>
        <w:t>mengevaluasi</w:t>
      </w:r>
      <w:r>
        <w:rPr>
          <w:spacing w:val="31"/>
        </w:rPr>
        <w:t> </w:t>
      </w:r>
      <w:r>
        <w:rPr/>
        <w:t>sistem</w:t>
      </w:r>
      <w:r>
        <w:rPr>
          <w:spacing w:val="31"/>
        </w:rPr>
        <w:t> </w:t>
      </w:r>
      <w:r>
        <w:rPr/>
        <w:t>proteksi</w:t>
      </w:r>
      <w:r>
        <w:rPr>
          <w:spacing w:val="26"/>
        </w:rPr>
        <w:t> </w:t>
      </w:r>
      <w:r>
        <w:rPr/>
        <w:t>kebakaran</w:t>
      </w:r>
      <w:r>
        <w:rPr>
          <w:spacing w:val="26"/>
        </w:rPr>
        <w:t> </w:t>
      </w:r>
      <w:r>
        <w:rPr/>
        <w:t>yang</w:t>
      </w:r>
      <w:r>
        <w:rPr>
          <w:spacing w:val="31"/>
        </w:rPr>
        <w:t> </w:t>
      </w:r>
      <w:r>
        <w:rPr/>
        <w:t>telah</w:t>
      </w:r>
      <w:r>
        <w:rPr>
          <w:spacing w:val="31"/>
        </w:rPr>
        <w:t> </w:t>
      </w:r>
      <w:r>
        <w:rPr/>
        <w:t>tersedia.</w:t>
      </w:r>
      <w:r>
        <w:rPr>
          <w:spacing w:val="31"/>
        </w:rPr>
        <w:t> </w:t>
      </w:r>
      <w:r>
        <w:rPr/>
        <w:t>Informasi</w:t>
      </w:r>
      <w:r>
        <w:rPr>
          <w:spacing w:val="31"/>
        </w:rPr>
        <w:t> </w:t>
      </w:r>
      <w:r>
        <w:rPr/>
        <w:t>ini</w:t>
      </w:r>
      <w:r>
        <w:rPr>
          <w:spacing w:val="31"/>
        </w:rPr>
        <w:t> </w:t>
      </w:r>
      <w:r>
        <w:rPr/>
        <w:t>digunakan</w:t>
      </w:r>
      <w:r>
        <w:rPr>
          <w:spacing w:val="31"/>
        </w:rPr>
        <w:t> </w:t>
      </w:r>
      <w:r>
        <w:rPr/>
        <w:t>untuk mengetahui</w:t>
      </w:r>
      <w:r>
        <w:rPr>
          <w:spacing w:val="-2"/>
        </w:rPr>
        <w:t> </w:t>
      </w:r>
      <w:r>
        <w:rPr/>
        <w:t>tingkat</w:t>
      </w:r>
      <w:r>
        <w:rPr>
          <w:spacing w:val="-2"/>
        </w:rPr>
        <w:t> </w:t>
      </w:r>
      <w:r>
        <w:rPr/>
        <w:t>perlindungan</w:t>
      </w:r>
      <w:r>
        <w:rPr>
          <w:spacing w:val="-1"/>
        </w:rPr>
        <w:t> </w:t>
      </w:r>
      <w:r>
        <w:rPr/>
        <w:t>yang</w:t>
      </w:r>
      <w:r>
        <w:rPr>
          <w:spacing w:val="-1"/>
        </w:rPr>
        <w:t> </w:t>
      </w:r>
      <w:r>
        <w:rPr/>
        <w:t>telah</w:t>
      </w:r>
      <w:r>
        <w:rPr>
          <w:spacing w:val="-1"/>
        </w:rPr>
        <w:t> </w:t>
      </w:r>
      <w:r>
        <w:rPr/>
        <w:t>dimiliki</w:t>
      </w:r>
      <w:r>
        <w:rPr>
          <w:spacing w:val="-2"/>
        </w:rPr>
        <w:t> </w:t>
      </w:r>
      <w:r>
        <w:rPr/>
        <w:t>objek</w:t>
      </w:r>
      <w:r>
        <w:rPr>
          <w:spacing w:val="-1"/>
        </w:rPr>
        <w:t> </w:t>
      </w:r>
      <w:r>
        <w:rPr/>
        <w:t>penelitian</w:t>
      </w:r>
      <w:r>
        <w:rPr>
          <w:spacing w:val="-1"/>
        </w:rPr>
        <w:t> </w:t>
      </w:r>
      <w:r>
        <w:rPr/>
        <w:t>sebelum</w:t>
      </w:r>
      <w:r>
        <w:rPr>
          <w:spacing w:val="-2"/>
        </w:rPr>
        <w:t> </w:t>
      </w:r>
      <w:r>
        <w:rPr/>
        <w:t>dilakukan</w:t>
      </w:r>
      <w:r>
        <w:rPr>
          <w:spacing w:val="-1"/>
        </w:rPr>
        <w:t> </w:t>
      </w:r>
      <w:r>
        <w:rPr/>
        <w:t>rekomendasi</w:t>
      </w:r>
      <w:r>
        <w:rPr>
          <w:spacing w:val="-2"/>
        </w:rPr>
        <w:t> </w:t>
      </w:r>
      <w:r>
        <w:rPr/>
        <w:t>perbaikan. Tahap berikutnya adalah penentuan </w:t>
      </w:r>
      <w:r>
        <w:rPr>
          <w:i/>
        </w:rPr>
        <w:t>inherent fire risk</w:t>
      </w:r>
      <w:r>
        <w:rPr/>
        <w:t>, yaitu penilaian risiko awal dengan memberikan skor </w:t>
      </w:r>
      <w:r>
        <w:rPr>
          <w:i/>
        </w:rPr>
        <w:t>likelihood </w:t>
      </w:r>
      <w:r>
        <w:rPr/>
        <w:t>(L) berdasarkan terjadinya insiden didasarkan pada kombinasi frekuensi historis kejadian serupa dan evaluasi terhadap keandalan sistem proteksi yang telah terpasang dan skor</w:t>
      </w:r>
      <w:r>
        <w:rPr>
          <w:spacing w:val="26"/>
        </w:rPr>
        <w:t> </w:t>
      </w:r>
      <w:r>
        <w:rPr>
          <w:i/>
        </w:rPr>
        <w:t>severity </w:t>
      </w:r>
      <w:r>
        <w:rPr/>
        <w:t>(S) berdasarkan keparahan</w:t>
      </w:r>
      <w:r>
        <w:rPr>
          <w:spacing w:val="40"/>
        </w:rPr>
        <w:t> </w:t>
      </w:r>
      <w:r>
        <w:rPr/>
        <w:t>dampak</w:t>
      </w:r>
      <w:r>
        <w:rPr>
          <w:spacing w:val="-10"/>
        </w:rPr>
        <w:t> </w:t>
      </w:r>
      <w:r>
        <w:rPr/>
        <w:t>apabila</w:t>
      </w:r>
      <w:r>
        <w:rPr>
          <w:spacing w:val="-7"/>
        </w:rPr>
        <w:t> </w:t>
      </w:r>
      <w:r>
        <w:rPr/>
        <w:t>kebakaran</w:t>
      </w:r>
      <w:r>
        <w:rPr>
          <w:spacing w:val="-6"/>
        </w:rPr>
        <w:t> </w:t>
      </w:r>
      <w:r>
        <w:rPr/>
        <w:t>terjadi.</w:t>
      </w:r>
      <w:r>
        <w:rPr>
          <w:spacing w:val="-7"/>
        </w:rPr>
        <w:t> </w:t>
      </w:r>
      <w:r>
        <w:rPr/>
        <w:t>Prinsip</w:t>
      </w:r>
      <w:r>
        <w:rPr>
          <w:spacing w:val="-8"/>
        </w:rPr>
        <w:t> </w:t>
      </w:r>
      <w:r>
        <w:rPr/>
        <w:t>penilaian</w:t>
      </w:r>
      <w:r>
        <w:rPr>
          <w:spacing w:val="-7"/>
        </w:rPr>
        <w:t> </w:t>
      </w:r>
      <w:r>
        <w:rPr/>
        <w:t>risiko</w:t>
      </w:r>
      <w:r>
        <w:rPr>
          <w:spacing w:val="-7"/>
        </w:rPr>
        <w:t> </w:t>
      </w:r>
      <w:r>
        <w:rPr/>
        <w:t>didasarkan</w:t>
      </w:r>
      <w:r>
        <w:rPr>
          <w:spacing w:val="-7"/>
        </w:rPr>
        <w:t> </w:t>
      </w:r>
      <w:r>
        <w:rPr/>
        <w:t>pada</w:t>
      </w:r>
      <w:r>
        <w:rPr>
          <w:spacing w:val="-6"/>
        </w:rPr>
        <w:t> </w:t>
      </w:r>
      <w:r>
        <w:rPr/>
        <w:t>kombinasi</w:t>
      </w:r>
      <w:r>
        <w:rPr>
          <w:spacing w:val="-13"/>
        </w:rPr>
        <w:t> </w:t>
      </w:r>
      <w:r>
        <w:rPr/>
        <w:t>antara</w:t>
      </w:r>
      <w:r>
        <w:rPr>
          <w:spacing w:val="-6"/>
        </w:rPr>
        <w:t> </w:t>
      </w:r>
      <w:r>
        <w:rPr/>
        <w:t>probabilitas</w:t>
      </w:r>
      <w:r>
        <w:rPr>
          <w:spacing w:val="-5"/>
        </w:rPr>
        <w:t> </w:t>
      </w:r>
      <w:r>
        <w:rPr>
          <w:spacing w:val="-2"/>
        </w:rPr>
        <w:t>kejadian</w:t>
      </w:r>
    </w:p>
    <w:p>
      <w:pPr>
        <w:pStyle w:val="BodyText"/>
        <w:spacing w:before="1"/>
        <w:jc w:val="both"/>
      </w:pPr>
      <w:r>
        <w:rPr/>
        <w:t>dan</w:t>
      </w:r>
      <w:r>
        <w:rPr>
          <w:spacing w:val="-1"/>
        </w:rPr>
        <w:t> </w:t>
      </w:r>
      <w:r>
        <w:rPr/>
        <w:t>konsekuensi</w:t>
      </w:r>
      <w:r>
        <w:rPr>
          <w:spacing w:val="-2"/>
        </w:rPr>
        <w:t> </w:t>
      </w:r>
      <w:r>
        <w:rPr/>
        <w:t>yang</w:t>
      </w:r>
      <w:r>
        <w:rPr>
          <w:spacing w:val="-1"/>
        </w:rPr>
        <w:t> </w:t>
      </w:r>
      <w:r>
        <w:rPr/>
        <w:t>ditimbulkan</w:t>
      </w:r>
      <w:r>
        <w:rPr>
          <w:spacing w:val="-1"/>
        </w:rPr>
        <w:t> </w:t>
      </w:r>
      <w:r>
        <w:rPr/>
        <w:t>oleh</w:t>
      </w:r>
      <w:r>
        <w:rPr>
          <w:spacing w:val="-1"/>
        </w:rPr>
        <w:t> </w:t>
      </w:r>
      <w:r>
        <w:rPr/>
        <w:t>skenario</w:t>
      </w:r>
      <w:r>
        <w:rPr>
          <w:spacing w:val="-1"/>
        </w:rPr>
        <w:t> </w:t>
      </w:r>
      <w:r>
        <w:rPr>
          <w:spacing w:val="-2"/>
        </w:rPr>
        <w:t>kebakaran.</w:t>
      </w:r>
    </w:p>
    <w:p>
      <w:pPr>
        <w:pStyle w:val="BodyText"/>
        <w:ind w:right="129"/>
        <w:jc w:val="both"/>
      </w:pPr>
      <w:r>
        <w:rPr/>
        <w:t>Apabila nilai risiko yang ada melampaui batas toleransi yang ditetapkan, maka direkomendasikan penerapan proteksi</w:t>
      </w:r>
      <w:r>
        <w:rPr>
          <w:spacing w:val="-12"/>
        </w:rPr>
        <w:t> </w:t>
      </w:r>
      <w:r>
        <w:rPr/>
        <w:t>tambahan</w:t>
      </w:r>
      <w:r>
        <w:rPr>
          <w:spacing w:val="-11"/>
        </w:rPr>
        <w:t> </w:t>
      </w:r>
      <w:r>
        <w:rPr/>
        <w:t>(</w:t>
      </w:r>
      <w:r>
        <w:rPr>
          <w:i/>
        </w:rPr>
        <w:t>additional</w:t>
      </w:r>
      <w:r>
        <w:rPr>
          <w:i/>
          <w:spacing w:val="-12"/>
        </w:rPr>
        <w:t> </w:t>
      </w:r>
      <w:r>
        <w:rPr>
          <w:i/>
        </w:rPr>
        <w:t>fire</w:t>
      </w:r>
      <w:r>
        <w:rPr>
          <w:i/>
          <w:spacing w:val="-10"/>
        </w:rPr>
        <w:t> </w:t>
      </w:r>
      <w:r>
        <w:rPr>
          <w:i/>
        </w:rPr>
        <w:t>protection</w:t>
      </w:r>
      <w:r>
        <w:rPr/>
        <w:t>)</w:t>
      </w:r>
      <w:r>
        <w:rPr>
          <w:spacing w:val="-13"/>
        </w:rPr>
        <w:t> </w:t>
      </w:r>
      <w:r>
        <w:rPr/>
        <w:t>guna</w:t>
      </w:r>
      <w:r>
        <w:rPr>
          <w:spacing w:val="-10"/>
        </w:rPr>
        <w:t> </w:t>
      </w:r>
      <w:r>
        <w:rPr/>
        <w:t>menekan</w:t>
      </w:r>
      <w:r>
        <w:rPr>
          <w:spacing w:val="-11"/>
        </w:rPr>
        <w:t> </w:t>
      </w:r>
      <w:r>
        <w:rPr/>
        <w:t>potensi</w:t>
      </w:r>
      <w:r>
        <w:rPr>
          <w:spacing w:val="-12"/>
        </w:rPr>
        <w:t> </w:t>
      </w:r>
      <w:r>
        <w:rPr/>
        <w:t>bahaya</w:t>
      </w:r>
      <w:r>
        <w:rPr>
          <w:spacing w:val="-10"/>
        </w:rPr>
        <w:t> </w:t>
      </w:r>
      <w:r>
        <w:rPr/>
        <w:t>menjadi</w:t>
      </w:r>
      <w:r>
        <w:rPr>
          <w:spacing w:val="-12"/>
        </w:rPr>
        <w:t> </w:t>
      </w:r>
      <w:r>
        <w:rPr/>
        <w:t>risiko</w:t>
      </w:r>
      <w:r>
        <w:rPr>
          <w:spacing w:val="-11"/>
        </w:rPr>
        <w:t> </w:t>
      </w:r>
      <w:r>
        <w:rPr/>
        <w:t>sisa</w:t>
      </w:r>
      <w:r>
        <w:rPr>
          <w:spacing w:val="-10"/>
        </w:rPr>
        <w:t> </w:t>
      </w:r>
      <w:r>
        <w:rPr/>
        <w:t>(</w:t>
      </w:r>
      <w:r>
        <w:rPr>
          <w:i/>
        </w:rPr>
        <w:t>residual</w:t>
      </w:r>
      <w:r>
        <w:rPr>
          <w:i/>
          <w:spacing w:val="-12"/>
        </w:rPr>
        <w:t> </w:t>
      </w:r>
      <w:r>
        <w:rPr>
          <w:i/>
        </w:rPr>
        <w:t>fire</w:t>
      </w:r>
      <w:r>
        <w:rPr>
          <w:i/>
          <w:spacing w:val="-10"/>
        </w:rPr>
        <w:t> </w:t>
      </w:r>
      <w:r>
        <w:rPr>
          <w:i/>
        </w:rPr>
        <w:t>risk</w:t>
      </w:r>
      <w:r>
        <w:rPr/>
        <w:t>) yaitu</w:t>
      </w:r>
      <w:r>
        <w:rPr>
          <w:spacing w:val="-2"/>
        </w:rPr>
        <w:t> </w:t>
      </w:r>
      <w:r>
        <w:rPr/>
        <w:t>melakukan</w:t>
      </w:r>
      <w:r>
        <w:rPr>
          <w:spacing w:val="-2"/>
        </w:rPr>
        <w:t> </w:t>
      </w:r>
      <w:r>
        <w:rPr/>
        <w:t>penilaian</w:t>
      </w:r>
      <w:r>
        <w:rPr>
          <w:spacing w:val="-2"/>
        </w:rPr>
        <w:t> </w:t>
      </w:r>
      <w:r>
        <w:rPr/>
        <w:t>ulang</w:t>
      </w:r>
      <w:r>
        <w:rPr>
          <w:spacing w:val="-2"/>
        </w:rPr>
        <w:t> </w:t>
      </w:r>
      <w:r>
        <w:rPr/>
        <w:t>terhadap</w:t>
      </w:r>
      <w:r>
        <w:rPr>
          <w:spacing w:val="-2"/>
        </w:rPr>
        <w:t> </w:t>
      </w:r>
      <w:r>
        <w:rPr/>
        <w:t>nilai </w:t>
      </w:r>
      <w:r>
        <w:rPr>
          <w:i/>
        </w:rPr>
        <w:t>likelihood</w:t>
      </w:r>
      <w:r>
        <w:rPr>
          <w:i/>
          <w:spacing w:val="-2"/>
        </w:rPr>
        <w:t> </w:t>
      </w:r>
      <w:r>
        <w:rPr/>
        <w:t>dan</w:t>
      </w:r>
      <w:r>
        <w:rPr>
          <w:spacing w:val="-2"/>
        </w:rPr>
        <w:t> </w:t>
      </w:r>
      <w:r>
        <w:rPr>
          <w:i/>
        </w:rPr>
        <w:t>severity </w:t>
      </w:r>
      <w:r>
        <w:rPr/>
        <w:t>dengan</w:t>
      </w:r>
      <w:r>
        <w:rPr>
          <w:spacing w:val="-2"/>
        </w:rPr>
        <w:t> </w:t>
      </w:r>
      <w:r>
        <w:rPr/>
        <w:t>mempertimbangkan</w:t>
      </w:r>
      <w:r>
        <w:rPr>
          <w:spacing w:val="-2"/>
        </w:rPr>
        <w:t> </w:t>
      </w:r>
      <w:r>
        <w:rPr/>
        <w:t>adanya</w:t>
      </w:r>
      <w:r>
        <w:rPr>
          <w:spacing w:val="-6"/>
        </w:rPr>
        <w:t> </w:t>
      </w:r>
      <w:r>
        <w:rPr/>
        <w:t>sistem proteksi</w:t>
      </w:r>
      <w:r>
        <w:rPr>
          <w:spacing w:val="-7"/>
        </w:rPr>
        <w:t> </w:t>
      </w:r>
      <w:r>
        <w:rPr/>
        <w:t>tambahan</w:t>
      </w:r>
      <w:r>
        <w:rPr>
          <w:spacing w:val="-6"/>
        </w:rPr>
        <w:t> </w:t>
      </w:r>
      <w:r>
        <w:rPr/>
        <w:t>yang</w:t>
      </w:r>
      <w:r>
        <w:rPr>
          <w:spacing w:val="-11"/>
        </w:rPr>
        <w:t> </w:t>
      </w:r>
      <w:r>
        <w:rPr/>
        <w:t>diusulkan.</w:t>
      </w:r>
      <w:r>
        <w:rPr>
          <w:spacing w:val="-11"/>
        </w:rPr>
        <w:t> </w:t>
      </w:r>
      <w:r>
        <w:rPr/>
        <w:t>Hasil</w:t>
      </w:r>
      <w:r>
        <w:rPr>
          <w:spacing w:val="-8"/>
        </w:rPr>
        <w:t> </w:t>
      </w:r>
      <w:r>
        <w:rPr/>
        <w:t>kombinasi</w:t>
      </w:r>
      <w:r>
        <w:rPr>
          <w:spacing w:val="-7"/>
        </w:rPr>
        <w:t> </w:t>
      </w:r>
      <w:r>
        <w:rPr/>
        <w:t>kedua</w:t>
      </w:r>
      <w:r>
        <w:rPr>
          <w:spacing w:val="-10"/>
        </w:rPr>
        <w:t> </w:t>
      </w:r>
      <w:r>
        <w:rPr/>
        <w:t>nilai</w:t>
      </w:r>
      <w:r>
        <w:rPr>
          <w:spacing w:val="-12"/>
        </w:rPr>
        <w:t> </w:t>
      </w:r>
      <w:r>
        <w:rPr/>
        <w:t>tersebut</w:t>
      </w:r>
      <w:r>
        <w:rPr>
          <w:spacing w:val="-7"/>
        </w:rPr>
        <w:t> </w:t>
      </w:r>
      <w:r>
        <w:rPr/>
        <w:t>menghasilkan</w:t>
      </w:r>
      <w:r>
        <w:rPr>
          <w:spacing w:val="-6"/>
        </w:rPr>
        <w:t> </w:t>
      </w:r>
      <w:r>
        <w:rPr/>
        <w:t>tingkat</w:t>
      </w:r>
      <w:r>
        <w:rPr>
          <w:spacing w:val="-7"/>
        </w:rPr>
        <w:t> </w:t>
      </w:r>
      <w:r>
        <w:rPr/>
        <w:t>risiko</w:t>
      </w:r>
      <w:r>
        <w:rPr>
          <w:spacing w:val="-11"/>
        </w:rPr>
        <w:t> </w:t>
      </w:r>
      <w:r>
        <w:rPr/>
        <w:t>sisa</w:t>
      </w:r>
      <w:r>
        <w:rPr>
          <w:spacing w:val="-5"/>
        </w:rPr>
        <w:t> </w:t>
      </w:r>
      <w:r>
        <w:rPr/>
        <w:t>(</w:t>
      </w:r>
      <w:r>
        <w:rPr>
          <w:i/>
        </w:rPr>
        <w:t>residual fire risk</w:t>
      </w:r>
      <w:r>
        <w:rPr/>
        <w:t>), sehingga dapat diketahui efektivitas rekomendasi dalam menurunkan tingkat risiko kebakaran.</w:t>
      </w:r>
    </w:p>
    <w:p>
      <w:pPr>
        <w:pStyle w:val="BodyText"/>
        <w:spacing w:before="1"/>
        <w:ind w:right="134" w:firstLine="405"/>
        <w:jc w:val="both"/>
      </w:pPr>
      <w:r>
        <w:rPr/>
        <w:t>Hasil identifikasi kemudian dianalisis menggunakan matriks risiko perusahaan yang mempertimbangkan parameter kemungkinan kejadian (</w:t>
      </w:r>
      <w:r>
        <w:rPr>
          <w:i/>
        </w:rPr>
        <w:t>likelihood</w:t>
      </w:r>
      <w:r>
        <w:rPr/>
        <w:t>) dan tingkat keparahan (s</w:t>
      </w:r>
      <w:r>
        <w:rPr>
          <w:i/>
        </w:rPr>
        <w:t>everity</w:t>
      </w:r>
      <w:r>
        <w:rPr/>
        <w:t>). Nilai risiko yang diperoleh selanjutnya</w:t>
      </w:r>
      <w:r>
        <w:rPr>
          <w:spacing w:val="-5"/>
        </w:rPr>
        <w:t> </w:t>
      </w:r>
      <w:r>
        <w:rPr/>
        <w:t>dikelompokkan</w:t>
      </w:r>
      <w:r>
        <w:rPr>
          <w:spacing w:val="-6"/>
        </w:rPr>
        <w:t> </w:t>
      </w:r>
      <w:r>
        <w:rPr/>
        <w:t>ke</w:t>
      </w:r>
      <w:r>
        <w:rPr>
          <w:spacing w:val="-5"/>
        </w:rPr>
        <w:t> </w:t>
      </w:r>
      <w:r>
        <w:rPr/>
        <w:t>dalam</w:t>
      </w:r>
      <w:r>
        <w:rPr>
          <w:spacing w:val="-7"/>
        </w:rPr>
        <w:t> </w:t>
      </w:r>
      <w:r>
        <w:rPr/>
        <w:t>lima</w:t>
      </w:r>
      <w:r>
        <w:rPr>
          <w:spacing w:val="-5"/>
        </w:rPr>
        <w:t> </w:t>
      </w:r>
      <w:r>
        <w:rPr/>
        <w:t>tingkat</w:t>
      </w:r>
      <w:r>
        <w:rPr>
          <w:spacing w:val="-2"/>
        </w:rPr>
        <w:t> </w:t>
      </w:r>
      <w:r>
        <w:rPr/>
        <w:t>risiko,</w:t>
      </w:r>
      <w:r>
        <w:rPr>
          <w:spacing w:val="-6"/>
        </w:rPr>
        <w:t> </w:t>
      </w:r>
      <w:r>
        <w:rPr/>
        <w:t>yaitu </w:t>
      </w:r>
      <w:r>
        <w:rPr>
          <w:i/>
        </w:rPr>
        <w:t>low</w:t>
      </w:r>
      <w:r>
        <w:rPr/>
        <w:t>,</w:t>
      </w:r>
      <w:r>
        <w:rPr>
          <w:spacing w:val="-6"/>
        </w:rPr>
        <w:t> </w:t>
      </w:r>
      <w:r>
        <w:rPr>
          <w:i/>
        </w:rPr>
        <w:t>low</w:t>
      </w:r>
      <w:r>
        <w:rPr>
          <w:i/>
          <w:spacing w:val="-5"/>
        </w:rPr>
        <w:t> </w:t>
      </w:r>
      <w:r>
        <w:rPr>
          <w:i/>
        </w:rPr>
        <w:t>to</w:t>
      </w:r>
      <w:r>
        <w:rPr>
          <w:i/>
          <w:spacing w:val="-7"/>
        </w:rPr>
        <w:t> </w:t>
      </w:r>
      <w:r>
        <w:rPr>
          <w:i/>
        </w:rPr>
        <w:t>moderate</w:t>
      </w:r>
      <w:r>
        <w:rPr/>
        <w:t>,</w:t>
      </w:r>
      <w:r>
        <w:rPr>
          <w:spacing w:val="-6"/>
        </w:rPr>
        <w:t> </w:t>
      </w:r>
      <w:r>
        <w:rPr>
          <w:i/>
        </w:rPr>
        <w:t>moderate</w:t>
      </w:r>
      <w:r>
        <w:rPr/>
        <w:t>,</w:t>
      </w:r>
      <w:r>
        <w:rPr>
          <w:spacing w:val="-6"/>
        </w:rPr>
        <w:t> </w:t>
      </w:r>
      <w:r>
        <w:rPr>
          <w:i/>
        </w:rPr>
        <w:t>moderate</w:t>
      </w:r>
      <w:r>
        <w:rPr>
          <w:i/>
          <w:spacing w:val="-5"/>
        </w:rPr>
        <w:t> </w:t>
      </w:r>
      <w:r>
        <w:rPr>
          <w:i/>
        </w:rPr>
        <w:t>to</w:t>
      </w:r>
      <w:r>
        <w:rPr>
          <w:i/>
          <w:spacing w:val="-7"/>
        </w:rPr>
        <w:t> </w:t>
      </w:r>
      <w:r>
        <w:rPr>
          <w:i/>
        </w:rPr>
        <w:t>high</w:t>
      </w:r>
      <w:r>
        <w:rPr/>
        <w:t>, dan </w:t>
      </w:r>
      <w:r>
        <w:rPr>
          <w:i/>
        </w:rPr>
        <w:t>high</w:t>
      </w:r>
      <w:r>
        <w:rPr/>
        <w:t>.</w:t>
      </w:r>
    </w:p>
    <w:p>
      <w:pPr>
        <w:spacing w:before="120" w:after="22"/>
        <w:ind w:left="141" w:right="0" w:firstLine="0"/>
        <w:jc w:val="both"/>
        <w:rPr>
          <w:i/>
          <w:sz w:val="20"/>
        </w:rPr>
      </w:pPr>
      <w:r>
        <w:rPr>
          <w:b/>
          <w:sz w:val="20"/>
        </w:rPr>
        <w:t>Tabel</w:t>
      </w:r>
      <w:r>
        <w:rPr>
          <w:b/>
          <w:spacing w:val="-3"/>
          <w:sz w:val="20"/>
        </w:rPr>
        <w:t> </w:t>
      </w:r>
      <w:r>
        <w:rPr>
          <w:b/>
          <w:sz w:val="20"/>
        </w:rPr>
        <w:t>1.</w:t>
      </w:r>
      <w:r>
        <w:rPr>
          <w:b/>
          <w:spacing w:val="-1"/>
          <w:sz w:val="20"/>
        </w:rPr>
        <w:t> </w:t>
      </w:r>
      <w:r>
        <w:rPr>
          <w:i/>
          <w:sz w:val="20"/>
        </w:rPr>
        <w:t>Risk </w:t>
      </w:r>
      <w:r>
        <w:rPr>
          <w:i/>
          <w:spacing w:val="-2"/>
          <w:sz w:val="20"/>
        </w:rPr>
        <w:t>Matrix</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5"/>
        <w:gridCol w:w="1825"/>
        <w:gridCol w:w="1325"/>
        <w:gridCol w:w="1079"/>
        <w:gridCol w:w="1004"/>
        <w:gridCol w:w="1059"/>
        <w:gridCol w:w="1139"/>
        <w:gridCol w:w="1144"/>
      </w:tblGrid>
      <w:tr>
        <w:trPr>
          <w:trHeight w:val="230" w:hRule="atLeast"/>
        </w:trPr>
        <w:tc>
          <w:tcPr>
            <w:tcW w:w="485" w:type="dxa"/>
            <w:vMerge w:val="restart"/>
          </w:tcPr>
          <w:p>
            <w:pPr>
              <w:pStyle w:val="TableParagraph"/>
              <w:ind w:left="110" w:right="192"/>
              <w:rPr>
                <w:b/>
                <w:sz w:val="18"/>
              </w:rPr>
            </w:pPr>
            <w:r>
              <w:rPr>
                <w:b/>
                <w:spacing w:val="-10"/>
                <w:sz w:val="18"/>
              </w:rPr>
              <w:t>K</w:t>
            </w:r>
            <w:r>
              <w:rPr>
                <w:b/>
                <w:sz w:val="18"/>
              </w:rPr>
              <w:t> </w:t>
            </w:r>
            <w:r>
              <w:rPr>
                <w:b/>
                <w:spacing w:val="-10"/>
                <w:sz w:val="18"/>
              </w:rPr>
              <w:t>E</w:t>
            </w:r>
            <w:r>
              <w:rPr>
                <w:b/>
                <w:sz w:val="18"/>
              </w:rPr>
              <w:t> </w:t>
            </w:r>
            <w:r>
              <w:rPr>
                <w:b/>
                <w:spacing w:val="-10"/>
                <w:sz w:val="18"/>
              </w:rPr>
              <w:t>M</w:t>
            </w:r>
            <w:r>
              <w:rPr>
                <w:b/>
                <w:sz w:val="18"/>
              </w:rPr>
              <w:t> </w:t>
            </w:r>
            <w:r>
              <w:rPr>
                <w:b/>
                <w:spacing w:val="-10"/>
                <w:sz w:val="18"/>
              </w:rPr>
              <w:t>U</w:t>
            </w:r>
            <w:r>
              <w:rPr>
                <w:b/>
                <w:sz w:val="18"/>
              </w:rPr>
              <w:t> </w:t>
            </w:r>
            <w:r>
              <w:rPr>
                <w:b/>
                <w:spacing w:val="-10"/>
                <w:sz w:val="18"/>
              </w:rPr>
              <w:t>N</w:t>
            </w:r>
            <w:r>
              <w:rPr>
                <w:b/>
                <w:sz w:val="18"/>
              </w:rPr>
              <w:t> </w:t>
            </w:r>
            <w:r>
              <w:rPr>
                <w:b/>
                <w:spacing w:val="-10"/>
                <w:sz w:val="18"/>
              </w:rPr>
              <w:t>G</w:t>
            </w:r>
            <w:r>
              <w:rPr>
                <w:b/>
                <w:sz w:val="18"/>
              </w:rPr>
              <w:t> </w:t>
            </w:r>
            <w:r>
              <w:rPr>
                <w:b/>
                <w:spacing w:val="-10"/>
                <w:sz w:val="18"/>
              </w:rPr>
              <w:t>K</w:t>
            </w:r>
            <w:r>
              <w:rPr>
                <w:b/>
                <w:sz w:val="18"/>
              </w:rPr>
              <w:t> </w:t>
            </w:r>
            <w:r>
              <w:rPr>
                <w:b/>
                <w:spacing w:val="-10"/>
                <w:sz w:val="18"/>
              </w:rPr>
              <w:t>I</w:t>
            </w:r>
            <w:r>
              <w:rPr>
                <w:b/>
                <w:sz w:val="18"/>
              </w:rPr>
              <w:t> </w:t>
            </w:r>
            <w:r>
              <w:rPr>
                <w:b/>
                <w:spacing w:val="-10"/>
                <w:sz w:val="18"/>
              </w:rPr>
              <w:t>N</w:t>
            </w:r>
            <w:r>
              <w:rPr>
                <w:b/>
                <w:sz w:val="18"/>
              </w:rPr>
              <w:t> </w:t>
            </w:r>
            <w:r>
              <w:rPr>
                <w:b/>
                <w:spacing w:val="-10"/>
                <w:sz w:val="18"/>
              </w:rPr>
              <w:t>A</w:t>
            </w:r>
            <w:r>
              <w:rPr>
                <w:b/>
                <w:sz w:val="18"/>
              </w:rPr>
              <w:t> </w:t>
            </w:r>
            <w:r>
              <w:rPr>
                <w:b/>
                <w:spacing w:val="-10"/>
                <w:sz w:val="18"/>
              </w:rPr>
              <w:t>N</w:t>
            </w:r>
          </w:p>
        </w:tc>
        <w:tc>
          <w:tcPr>
            <w:tcW w:w="1825" w:type="dxa"/>
          </w:tcPr>
          <w:p>
            <w:pPr>
              <w:pStyle w:val="TableParagraph"/>
              <w:spacing w:line="210" w:lineRule="exact"/>
              <w:ind w:left="6" w:right="1"/>
              <w:jc w:val="center"/>
              <w:rPr>
                <w:sz w:val="20"/>
              </w:rPr>
            </w:pPr>
            <w:r>
              <w:rPr>
                <w:sz w:val="20"/>
              </w:rPr>
              <w:t>Hampir</w:t>
            </w:r>
            <w:r>
              <w:rPr>
                <w:spacing w:val="-2"/>
                <w:sz w:val="20"/>
              </w:rPr>
              <w:t> </w:t>
            </w:r>
            <w:r>
              <w:rPr>
                <w:sz w:val="20"/>
              </w:rPr>
              <w:t>pasti</w:t>
            </w:r>
            <w:r>
              <w:rPr>
                <w:spacing w:val="-1"/>
                <w:sz w:val="20"/>
              </w:rPr>
              <w:t> </w:t>
            </w:r>
            <w:r>
              <w:rPr>
                <w:spacing w:val="-2"/>
                <w:sz w:val="20"/>
              </w:rPr>
              <w:t>terjadi</w:t>
            </w:r>
          </w:p>
        </w:tc>
        <w:tc>
          <w:tcPr>
            <w:tcW w:w="1325" w:type="dxa"/>
          </w:tcPr>
          <w:p>
            <w:pPr>
              <w:pStyle w:val="TableParagraph"/>
              <w:spacing w:line="210" w:lineRule="exact"/>
              <w:ind w:left="8"/>
              <w:jc w:val="center"/>
              <w:rPr>
                <w:sz w:val="20"/>
              </w:rPr>
            </w:pPr>
            <w:r>
              <w:rPr>
                <w:spacing w:val="-10"/>
                <w:sz w:val="20"/>
              </w:rPr>
              <w:t>5</w:t>
            </w:r>
          </w:p>
        </w:tc>
        <w:tc>
          <w:tcPr>
            <w:tcW w:w="1079" w:type="dxa"/>
            <w:shd w:val="clear" w:color="auto" w:fill="BEBEBE"/>
          </w:tcPr>
          <w:p>
            <w:pPr>
              <w:pStyle w:val="TableParagraph"/>
              <w:spacing w:line="210" w:lineRule="exact"/>
              <w:ind w:left="15"/>
              <w:jc w:val="center"/>
              <w:rPr>
                <w:sz w:val="20"/>
              </w:rPr>
            </w:pPr>
            <w:r>
              <w:rPr>
                <w:spacing w:val="-10"/>
                <w:sz w:val="20"/>
              </w:rPr>
              <w:t>7</w:t>
            </w:r>
          </w:p>
        </w:tc>
        <w:tc>
          <w:tcPr>
            <w:tcW w:w="1004" w:type="dxa"/>
            <w:shd w:val="clear" w:color="auto" w:fill="A6A6A6"/>
          </w:tcPr>
          <w:p>
            <w:pPr>
              <w:pStyle w:val="TableParagraph"/>
              <w:spacing w:line="210" w:lineRule="exact"/>
              <w:ind w:left="13"/>
              <w:jc w:val="center"/>
              <w:rPr>
                <w:sz w:val="20"/>
              </w:rPr>
            </w:pPr>
            <w:r>
              <w:rPr>
                <w:spacing w:val="-5"/>
                <w:sz w:val="20"/>
              </w:rPr>
              <w:t>12</w:t>
            </w:r>
          </w:p>
        </w:tc>
        <w:tc>
          <w:tcPr>
            <w:tcW w:w="1059" w:type="dxa"/>
            <w:shd w:val="clear" w:color="auto" w:fill="808080"/>
          </w:tcPr>
          <w:p>
            <w:pPr>
              <w:pStyle w:val="TableParagraph"/>
              <w:spacing w:line="210" w:lineRule="exact"/>
              <w:ind w:left="10"/>
              <w:jc w:val="center"/>
              <w:rPr>
                <w:sz w:val="20"/>
              </w:rPr>
            </w:pPr>
            <w:r>
              <w:rPr>
                <w:spacing w:val="-5"/>
                <w:sz w:val="20"/>
              </w:rPr>
              <w:t>17</w:t>
            </w:r>
          </w:p>
        </w:tc>
        <w:tc>
          <w:tcPr>
            <w:tcW w:w="1139" w:type="dxa"/>
            <w:shd w:val="clear" w:color="auto" w:fill="585858"/>
          </w:tcPr>
          <w:p>
            <w:pPr>
              <w:pStyle w:val="TableParagraph"/>
              <w:spacing w:line="210" w:lineRule="exact"/>
              <w:ind w:left="24"/>
              <w:jc w:val="center"/>
              <w:rPr>
                <w:sz w:val="20"/>
              </w:rPr>
            </w:pPr>
            <w:r>
              <w:rPr>
                <w:spacing w:val="-5"/>
                <w:sz w:val="20"/>
              </w:rPr>
              <w:t>22</w:t>
            </w:r>
          </w:p>
        </w:tc>
        <w:tc>
          <w:tcPr>
            <w:tcW w:w="1144" w:type="dxa"/>
            <w:shd w:val="clear" w:color="auto" w:fill="585858"/>
          </w:tcPr>
          <w:p>
            <w:pPr>
              <w:pStyle w:val="TableParagraph"/>
              <w:spacing w:line="210" w:lineRule="exact"/>
              <w:ind w:left="22"/>
              <w:jc w:val="center"/>
              <w:rPr>
                <w:sz w:val="20"/>
              </w:rPr>
            </w:pPr>
            <w:r>
              <w:rPr>
                <w:spacing w:val="-5"/>
                <w:sz w:val="20"/>
              </w:rPr>
              <w:t>25</w:t>
            </w:r>
          </w:p>
        </w:tc>
      </w:tr>
      <w:tr>
        <w:trPr>
          <w:trHeight w:val="460" w:hRule="atLeast"/>
        </w:trPr>
        <w:tc>
          <w:tcPr>
            <w:tcW w:w="485" w:type="dxa"/>
            <w:vMerge/>
            <w:tcBorders>
              <w:top w:val="nil"/>
            </w:tcBorders>
          </w:tcPr>
          <w:p>
            <w:pPr>
              <w:rPr>
                <w:sz w:val="2"/>
                <w:szCs w:val="2"/>
              </w:rPr>
            </w:pPr>
          </w:p>
        </w:tc>
        <w:tc>
          <w:tcPr>
            <w:tcW w:w="1825" w:type="dxa"/>
          </w:tcPr>
          <w:p>
            <w:pPr>
              <w:pStyle w:val="TableParagraph"/>
              <w:spacing w:line="230" w:lineRule="exact"/>
              <w:ind w:left="655" w:right="247" w:hanging="400"/>
              <w:rPr>
                <w:sz w:val="20"/>
              </w:rPr>
            </w:pPr>
            <w:r>
              <w:rPr>
                <w:sz w:val="20"/>
              </w:rPr>
              <w:t>Sangat</w:t>
            </w:r>
            <w:r>
              <w:rPr>
                <w:spacing w:val="-13"/>
                <w:sz w:val="20"/>
              </w:rPr>
              <w:t> </w:t>
            </w:r>
            <w:r>
              <w:rPr>
                <w:sz w:val="20"/>
              </w:rPr>
              <w:t>mungkin </w:t>
            </w:r>
            <w:r>
              <w:rPr>
                <w:spacing w:val="-2"/>
                <w:sz w:val="20"/>
              </w:rPr>
              <w:t>terjadi</w:t>
            </w:r>
          </w:p>
        </w:tc>
        <w:tc>
          <w:tcPr>
            <w:tcW w:w="1325" w:type="dxa"/>
          </w:tcPr>
          <w:p>
            <w:pPr>
              <w:pStyle w:val="TableParagraph"/>
              <w:spacing w:before="113"/>
              <w:ind w:left="8"/>
              <w:jc w:val="center"/>
              <w:rPr>
                <w:sz w:val="20"/>
              </w:rPr>
            </w:pPr>
            <w:r>
              <w:rPr>
                <w:spacing w:val="-10"/>
                <w:sz w:val="20"/>
              </w:rPr>
              <w:t>4</w:t>
            </w:r>
          </w:p>
        </w:tc>
        <w:tc>
          <w:tcPr>
            <w:tcW w:w="1079" w:type="dxa"/>
            <w:shd w:val="clear" w:color="auto" w:fill="D9D9D9"/>
          </w:tcPr>
          <w:p>
            <w:pPr>
              <w:pStyle w:val="TableParagraph"/>
              <w:spacing w:before="113"/>
              <w:ind w:left="15"/>
              <w:jc w:val="center"/>
              <w:rPr>
                <w:sz w:val="20"/>
              </w:rPr>
            </w:pPr>
            <w:r>
              <w:rPr>
                <w:spacing w:val="-10"/>
                <w:sz w:val="20"/>
              </w:rPr>
              <w:t>4</w:t>
            </w:r>
          </w:p>
        </w:tc>
        <w:tc>
          <w:tcPr>
            <w:tcW w:w="1004" w:type="dxa"/>
            <w:shd w:val="clear" w:color="auto" w:fill="BEBEBE"/>
          </w:tcPr>
          <w:p>
            <w:pPr>
              <w:pStyle w:val="TableParagraph"/>
              <w:spacing w:before="113"/>
              <w:ind w:left="13"/>
              <w:jc w:val="center"/>
              <w:rPr>
                <w:sz w:val="20"/>
              </w:rPr>
            </w:pPr>
            <w:r>
              <w:rPr>
                <w:spacing w:val="-10"/>
                <w:sz w:val="20"/>
              </w:rPr>
              <w:t>9</w:t>
            </w:r>
          </w:p>
        </w:tc>
        <w:tc>
          <w:tcPr>
            <w:tcW w:w="1059" w:type="dxa"/>
            <w:shd w:val="clear" w:color="auto" w:fill="A6A6A6"/>
          </w:tcPr>
          <w:p>
            <w:pPr>
              <w:pStyle w:val="TableParagraph"/>
              <w:spacing w:before="113"/>
              <w:ind w:left="10"/>
              <w:jc w:val="center"/>
              <w:rPr>
                <w:sz w:val="20"/>
              </w:rPr>
            </w:pPr>
            <w:r>
              <w:rPr>
                <w:spacing w:val="-5"/>
                <w:sz w:val="20"/>
              </w:rPr>
              <w:t>14</w:t>
            </w:r>
          </w:p>
        </w:tc>
        <w:tc>
          <w:tcPr>
            <w:tcW w:w="1139" w:type="dxa"/>
            <w:shd w:val="clear" w:color="auto" w:fill="808080"/>
          </w:tcPr>
          <w:p>
            <w:pPr>
              <w:pStyle w:val="TableParagraph"/>
              <w:spacing w:before="113"/>
              <w:ind w:left="24"/>
              <w:jc w:val="center"/>
              <w:rPr>
                <w:sz w:val="20"/>
              </w:rPr>
            </w:pPr>
            <w:r>
              <w:rPr>
                <w:spacing w:val="-5"/>
                <w:sz w:val="20"/>
              </w:rPr>
              <w:t>19</w:t>
            </w:r>
          </w:p>
        </w:tc>
        <w:tc>
          <w:tcPr>
            <w:tcW w:w="1144" w:type="dxa"/>
            <w:shd w:val="clear" w:color="auto" w:fill="585858"/>
          </w:tcPr>
          <w:p>
            <w:pPr>
              <w:pStyle w:val="TableParagraph"/>
              <w:spacing w:before="113"/>
              <w:ind w:left="22"/>
              <w:jc w:val="center"/>
              <w:rPr>
                <w:sz w:val="20"/>
              </w:rPr>
            </w:pPr>
            <w:r>
              <w:rPr>
                <w:spacing w:val="-5"/>
                <w:sz w:val="20"/>
              </w:rPr>
              <w:t>24</w:t>
            </w:r>
          </w:p>
        </w:tc>
      </w:tr>
      <w:tr>
        <w:trPr>
          <w:trHeight w:val="230" w:hRule="atLeast"/>
        </w:trPr>
        <w:tc>
          <w:tcPr>
            <w:tcW w:w="485" w:type="dxa"/>
            <w:vMerge/>
            <w:tcBorders>
              <w:top w:val="nil"/>
            </w:tcBorders>
          </w:tcPr>
          <w:p>
            <w:pPr>
              <w:rPr>
                <w:sz w:val="2"/>
                <w:szCs w:val="2"/>
              </w:rPr>
            </w:pPr>
          </w:p>
        </w:tc>
        <w:tc>
          <w:tcPr>
            <w:tcW w:w="1825" w:type="dxa"/>
          </w:tcPr>
          <w:p>
            <w:pPr>
              <w:pStyle w:val="TableParagraph"/>
              <w:spacing w:line="210" w:lineRule="exact"/>
              <w:ind w:left="6" w:right="1"/>
              <w:jc w:val="center"/>
              <w:rPr>
                <w:sz w:val="20"/>
              </w:rPr>
            </w:pPr>
            <w:r>
              <w:rPr>
                <w:sz w:val="20"/>
              </w:rPr>
              <w:t>Bisa </w:t>
            </w:r>
            <w:r>
              <w:rPr>
                <w:spacing w:val="-2"/>
                <w:sz w:val="20"/>
              </w:rPr>
              <w:t>terjadi</w:t>
            </w:r>
          </w:p>
        </w:tc>
        <w:tc>
          <w:tcPr>
            <w:tcW w:w="1325" w:type="dxa"/>
          </w:tcPr>
          <w:p>
            <w:pPr>
              <w:pStyle w:val="TableParagraph"/>
              <w:spacing w:line="210" w:lineRule="exact"/>
              <w:ind w:left="8"/>
              <w:jc w:val="center"/>
              <w:rPr>
                <w:sz w:val="20"/>
              </w:rPr>
            </w:pPr>
            <w:r>
              <w:rPr>
                <w:spacing w:val="-10"/>
                <w:sz w:val="20"/>
              </w:rPr>
              <w:t>3</w:t>
            </w:r>
          </w:p>
        </w:tc>
        <w:tc>
          <w:tcPr>
            <w:tcW w:w="1079" w:type="dxa"/>
            <w:shd w:val="clear" w:color="auto" w:fill="D9D9D9"/>
          </w:tcPr>
          <w:p>
            <w:pPr>
              <w:pStyle w:val="TableParagraph"/>
              <w:spacing w:line="210" w:lineRule="exact"/>
              <w:ind w:left="15"/>
              <w:jc w:val="center"/>
              <w:rPr>
                <w:sz w:val="20"/>
              </w:rPr>
            </w:pPr>
            <w:r>
              <w:rPr>
                <w:spacing w:val="-10"/>
                <w:sz w:val="20"/>
              </w:rPr>
              <w:t>3</w:t>
            </w:r>
          </w:p>
        </w:tc>
        <w:tc>
          <w:tcPr>
            <w:tcW w:w="1004" w:type="dxa"/>
            <w:shd w:val="clear" w:color="auto" w:fill="BEBEBE"/>
          </w:tcPr>
          <w:p>
            <w:pPr>
              <w:pStyle w:val="TableParagraph"/>
              <w:spacing w:line="210" w:lineRule="exact"/>
              <w:ind w:left="13"/>
              <w:jc w:val="center"/>
              <w:rPr>
                <w:sz w:val="20"/>
              </w:rPr>
            </w:pPr>
            <w:r>
              <w:rPr>
                <w:spacing w:val="-10"/>
                <w:sz w:val="20"/>
              </w:rPr>
              <w:t>8</w:t>
            </w:r>
          </w:p>
        </w:tc>
        <w:tc>
          <w:tcPr>
            <w:tcW w:w="1059" w:type="dxa"/>
            <w:shd w:val="clear" w:color="auto" w:fill="A6A6A6"/>
          </w:tcPr>
          <w:p>
            <w:pPr>
              <w:pStyle w:val="TableParagraph"/>
              <w:spacing w:line="210" w:lineRule="exact"/>
              <w:ind w:left="10"/>
              <w:jc w:val="center"/>
              <w:rPr>
                <w:sz w:val="20"/>
              </w:rPr>
            </w:pPr>
            <w:r>
              <w:rPr>
                <w:spacing w:val="-5"/>
                <w:sz w:val="20"/>
              </w:rPr>
              <w:t>13</w:t>
            </w:r>
          </w:p>
        </w:tc>
        <w:tc>
          <w:tcPr>
            <w:tcW w:w="1139" w:type="dxa"/>
            <w:shd w:val="clear" w:color="auto" w:fill="808080"/>
          </w:tcPr>
          <w:p>
            <w:pPr>
              <w:pStyle w:val="TableParagraph"/>
              <w:spacing w:line="210" w:lineRule="exact"/>
              <w:ind w:left="24"/>
              <w:jc w:val="center"/>
              <w:rPr>
                <w:sz w:val="20"/>
              </w:rPr>
            </w:pPr>
            <w:r>
              <w:rPr>
                <w:spacing w:val="-5"/>
                <w:sz w:val="20"/>
              </w:rPr>
              <w:t>18</w:t>
            </w:r>
          </w:p>
        </w:tc>
        <w:tc>
          <w:tcPr>
            <w:tcW w:w="1144" w:type="dxa"/>
            <w:shd w:val="clear" w:color="auto" w:fill="585858"/>
          </w:tcPr>
          <w:p>
            <w:pPr>
              <w:pStyle w:val="TableParagraph"/>
              <w:spacing w:line="210" w:lineRule="exact"/>
              <w:ind w:left="22"/>
              <w:jc w:val="center"/>
              <w:rPr>
                <w:sz w:val="20"/>
              </w:rPr>
            </w:pPr>
            <w:r>
              <w:rPr>
                <w:spacing w:val="-5"/>
                <w:sz w:val="20"/>
              </w:rPr>
              <w:t>23</w:t>
            </w:r>
          </w:p>
        </w:tc>
      </w:tr>
      <w:tr>
        <w:trPr>
          <w:trHeight w:val="230" w:hRule="atLeast"/>
        </w:trPr>
        <w:tc>
          <w:tcPr>
            <w:tcW w:w="485" w:type="dxa"/>
            <w:vMerge/>
            <w:tcBorders>
              <w:top w:val="nil"/>
            </w:tcBorders>
          </w:tcPr>
          <w:p>
            <w:pPr>
              <w:rPr>
                <w:sz w:val="2"/>
                <w:szCs w:val="2"/>
              </w:rPr>
            </w:pPr>
          </w:p>
        </w:tc>
        <w:tc>
          <w:tcPr>
            <w:tcW w:w="1825" w:type="dxa"/>
          </w:tcPr>
          <w:p>
            <w:pPr>
              <w:pStyle w:val="TableParagraph"/>
              <w:spacing w:line="210" w:lineRule="exact"/>
              <w:ind w:left="5" w:right="5"/>
              <w:jc w:val="center"/>
              <w:rPr>
                <w:sz w:val="20"/>
              </w:rPr>
            </w:pPr>
            <w:r>
              <w:rPr>
                <w:sz w:val="20"/>
              </w:rPr>
              <w:t>Jarang</w:t>
            </w:r>
            <w:r>
              <w:rPr>
                <w:spacing w:val="-1"/>
                <w:sz w:val="20"/>
              </w:rPr>
              <w:t> </w:t>
            </w:r>
            <w:r>
              <w:rPr>
                <w:spacing w:val="-2"/>
                <w:sz w:val="20"/>
              </w:rPr>
              <w:t>terjadi</w:t>
            </w:r>
          </w:p>
        </w:tc>
        <w:tc>
          <w:tcPr>
            <w:tcW w:w="1325" w:type="dxa"/>
          </w:tcPr>
          <w:p>
            <w:pPr>
              <w:pStyle w:val="TableParagraph"/>
              <w:spacing w:line="210" w:lineRule="exact"/>
              <w:ind w:left="8"/>
              <w:jc w:val="center"/>
              <w:rPr>
                <w:sz w:val="20"/>
              </w:rPr>
            </w:pPr>
            <w:r>
              <w:rPr>
                <w:spacing w:val="-10"/>
                <w:sz w:val="20"/>
              </w:rPr>
              <w:t>2</w:t>
            </w:r>
          </w:p>
        </w:tc>
        <w:tc>
          <w:tcPr>
            <w:tcW w:w="1079" w:type="dxa"/>
            <w:shd w:val="clear" w:color="auto" w:fill="D9D9D9"/>
          </w:tcPr>
          <w:p>
            <w:pPr>
              <w:pStyle w:val="TableParagraph"/>
              <w:spacing w:line="210" w:lineRule="exact"/>
              <w:ind w:left="15"/>
              <w:jc w:val="center"/>
              <w:rPr>
                <w:sz w:val="20"/>
              </w:rPr>
            </w:pPr>
            <w:r>
              <w:rPr>
                <w:spacing w:val="-10"/>
                <w:sz w:val="20"/>
              </w:rPr>
              <w:t>2</w:t>
            </w:r>
          </w:p>
        </w:tc>
        <w:tc>
          <w:tcPr>
            <w:tcW w:w="1004" w:type="dxa"/>
            <w:shd w:val="clear" w:color="auto" w:fill="BEBEBE"/>
          </w:tcPr>
          <w:p>
            <w:pPr>
              <w:pStyle w:val="TableParagraph"/>
              <w:spacing w:line="210" w:lineRule="exact"/>
              <w:ind w:left="13"/>
              <w:jc w:val="center"/>
              <w:rPr>
                <w:sz w:val="20"/>
              </w:rPr>
            </w:pPr>
            <w:r>
              <w:rPr>
                <w:spacing w:val="-10"/>
                <w:sz w:val="20"/>
              </w:rPr>
              <w:t>6</w:t>
            </w:r>
          </w:p>
        </w:tc>
        <w:tc>
          <w:tcPr>
            <w:tcW w:w="1059" w:type="dxa"/>
            <w:shd w:val="clear" w:color="auto" w:fill="BEBEBE"/>
          </w:tcPr>
          <w:p>
            <w:pPr>
              <w:pStyle w:val="TableParagraph"/>
              <w:spacing w:line="210" w:lineRule="exact"/>
              <w:ind w:left="10"/>
              <w:jc w:val="center"/>
              <w:rPr>
                <w:sz w:val="20"/>
              </w:rPr>
            </w:pPr>
            <w:r>
              <w:rPr>
                <w:spacing w:val="-5"/>
                <w:sz w:val="20"/>
              </w:rPr>
              <w:t>11</w:t>
            </w:r>
          </w:p>
        </w:tc>
        <w:tc>
          <w:tcPr>
            <w:tcW w:w="1139" w:type="dxa"/>
            <w:shd w:val="clear" w:color="auto" w:fill="808080"/>
          </w:tcPr>
          <w:p>
            <w:pPr>
              <w:pStyle w:val="TableParagraph"/>
              <w:spacing w:line="210" w:lineRule="exact"/>
              <w:ind w:left="24"/>
              <w:jc w:val="center"/>
              <w:rPr>
                <w:sz w:val="20"/>
              </w:rPr>
            </w:pPr>
            <w:r>
              <w:rPr>
                <w:spacing w:val="-5"/>
                <w:sz w:val="20"/>
              </w:rPr>
              <w:t>16</w:t>
            </w:r>
          </w:p>
        </w:tc>
        <w:tc>
          <w:tcPr>
            <w:tcW w:w="1144" w:type="dxa"/>
            <w:shd w:val="clear" w:color="auto" w:fill="585858"/>
          </w:tcPr>
          <w:p>
            <w:pPr>
              <w:pStyle w:val="TableParagraph"/>
              <w:spacing w:line="210" w:lineRule="exact"/>
              <w:ind w:left="22"/>
              <w:jc w:val="center"/>
              <w:rPr>
                <w:sz w:val="20"/>
              </w:rPr>
            </w:pPr>
            <w:r>
              <w:rPr>
                <w:spacing w:val="-5"/>
                <w:sz w:val="20"/>
              </w:rPr>
              <w:t>21</w:t>
            </w:r>
          </w:p>
        </w:tc>
      </w:tr>
      <w:tr>
        <w:trPr>
          <w:trHeight w:val="460" w:hRule="atLeast"/>
        </w:trPr>
        <w:tc>
          <w:tcPr>
            <w:tcW w:w="485" w:type="dxa"/>
            <w:vMerge/>
            <w:tcBorders>
              <w:top w:val="nil"/>
            </w:tcBorders>
          </w:tcPr>
          <w:p>
            <w:pPr>
              <w:rPr>
                <w:sz w:val="2"/>
                <w:szCs w:val="2"/>
              </w:rPr>
            </w:pPr>
          </w:p>
        </w:tc>
        <w:tc>
          <w:tcPr>
            <w:tcW w:w="1825" w:type="dxa"/>
          </w:tcPr>
          <w:p>
            <w:pPr>
              <w:pStyle w:val="TableParagraph"/>
              <w:spacing w:line="230" w:lineRule="exact"/>
              <w:ind w:left="655" w:right="353" w:hanging="295"/>
              <w:rPr>
                <w:sz w:val="20"/>
              </w:rPr>
            </w:pPr>
            <w:r>
              <w:rPr>
                <w:sz w:val="20"/>
              </w:rPr>
              <w:t>Sangat</w:t>
            </w:r>
            <w:r>
              <w:rPr>
                <w:spacing w:val="-13"/>
                <w:sz w:val="20"/>
              </w:rPr>
              <w:t> </w:t>
            </w:r>
            <w:r>
              <w:rPr>
                <w:sz w:val="20"/>
              </w:rPr>
              <w:t>jarang </w:t>
            </w:r>
            <w:r>
              <w:rPr>
                <w:spacing w:val="-2"/>
                <w:sz w:val="20"/>
              </w:rPr>
              <w:t>terjadi</w:t>
            </w:r>
          </w:p>
        </w:tc>
        <w:tc>
          <w:tcPr>
            <w:tcW w:w="1325" w:type="dxa"/>
          </w:tcPr>
          <w:p>
            <w:pPr>
              <w:pStyle w:val="TableParagraph"/>
              <w:spacing w:before="113"/>
              <w:ind w:left="8"/>
              <w:jc w:val="center"/>
              <w:rPr>
                <w:sz w:val="20"/>
              </w:rPr>
            </w:pPr>
            <w:r>
              <w:rPr>
                <w:spacing w:val="-10"/>
                <w:sz w:val="20"/>
              </w:rPr>
              <w:t>1</w:t>
            </w:r>
          </w:p>
        </w:tc>
        <w:tc>
          <w:tcPr>
            <w:tcW w:w="1079" w:type="dxa"/>
            <w:shd w:val="clear" w:color="auto" w:fill="D9D9D9"/>
          </w:tcPr>
          <w:p>
            <w:pPr>
              <w:pStyle w:val="TableParagraph"/>
              <w:spacing w:before="113"/>
              <w:ind w:left="15"/>
              <w:jc w:val="center"/>
              <w:rPr>
                <w:sz w:val="20"/>
              </w:rPr>
            </w:pPr>
            <w:r>
              <w:rPr>
                <w:spacing w:val="-10"/>
                <w:sz w:val="20"/>
              </w:rPr>
              <w:t>1</w:t>
            </w:r>
          </w:p>
        </w:tc>
        <w:tc>
          <w:tcPr>
            <w:tcW w:w="1004" w:type="dxa"/>
            <w:shd w:val="clear" w:color="auto" w:fill="D9D9D9"/>
          </w:tcPr>
          <w:p>
            <w:pPr>
              <w:pStyle w:val="TableParagraph"/>
              <w:spacing w:before="113"/>
              <w:ind w:left="13"/>
              <w:jc w:val="center"/>
              <w:rPr>
                <w:sz w:val="20"/>
              </w:rPr>
            </w:pPr>
            <w:r>
              <w:rPr>
                <w:spacing w:val="-10"/>
                <w:sz w:val="20"/>
              </w:rPr>
              <w:t>5</w:t>
            </w:r>
          </w:p>
        </w:tc>
        <w:tc>
          <w:tcPr>
            <w:tcW w:w="1059" w:type="dxa"/>
            <w:shd w:val="clear" w:color="auto" w:fill="BEBEBE"/>
          </w:tcPr>
          <w:p>
            <w:pPr>
              <w:pStyle w:val="TableParagraph"/>
              <w:spacing w:before="113"/>
              <w:ind w:left="10"/>
              <w:jc w:val="center"/>
              <w:rPr>
                <w:sz w:val="20"/>
              </w:rPr>
            </w:pPr>
            <w:r>
              <w:rPr>
                <w:spacing w:val="-5"/>
                <w:sz w:val="20"/>
              </w:rPr>
              <w:t>10</w:t>
            </w:r>
          </w:p>
        </w:tc>
        <w:tc>
          <w:tcPr>
            <w:tcW w:w="1139" w:type="dxa"/>
            <w:shd w:val="clear" w:color="auto" w:fill="A6A6A6"/>
          </w:tcPr>
          <w:p>
            <w:pPr>
              <w:pStyle w:val="TableParagraph"/>
              <w:spacing w:before="113"/>
              <w:ind w:left="24"/>
              <w:jc w:val="center"/>
              <w:rPr>
                <w:sz w:val="20"/>
              </w:rPr>
            </w:pPr>
            <w:r>
              <w:rPr>
                <w:spacing w:val="-5"/>
                <w:sz w:val="20"/>
              </w:rPr>
              <w:t>15</w:t>
            </w:r>
          </w:p>
        </w:tc>
        <w:tc>
          <w:tcPr>
            <w:tcW w:w="1144" w:type="dxa"/>
            <w:shd w:val="clear" w:color="auto" w:fill="585858"/>
          </w:tcPr>
          <w:p>
            <w:pPr>
              <w:pStyle w:val="TableParagraph"/>
              <w:spacing w:before="113"/>
              <w:ind w:left="22"/>
              <w:jc w:val="center"/>
              <w:rPr>
                <w:sz w:val="20"/>
              </w:rPr>
            </w:pPr>
            <w:r>
              <w:rPr>
                <w:spacing w:val="-5"/>
                <w:sz w:val="20"/>
              </w:rPr>
              <w:t>20</w:t>
            </w:r>
          </w:p>
        </w:tc>
      </w:tr>
      <w:tr>
        <w:trPr>
          <w:trHeight w:val="230" w:hRule="atLeast"/>
        </w:trPr>
        <w:tc>
          <w:tcPr>
            <w:tcW w:w="485" w:type="dxa"/>
            <w:vMerge/>
            <w:tcBorders>
              <w:top w:val="nil"/>
            </w:tcBorders>
          </w:tcPr>
          <w:p>
            <w:pPr>
              <w:rPr>
                <w:sz w:val="2"/>
                <w:szCs w:val="2"/>
              </w:rPr>
            </w:pPr>
          </w:p>
        </w:tc>
        <w:tc>
          <w:tcPr>
            <w:tcW w:w="1825" w:type="dxa"/>
          </w:tcPr>
          <w:p>
            <w:pPr>
              <w:pStyle w:val="TableParagraph"/>
              <w:spacing w:line="210" w:lineRule="exact"/>
              <w:ind w:left="5" w:right="6"/>
              <w:jc w:val="center"/>
              <w:rPr>
                <w:sz w:val="20"/>
              </w:rPr>
            </w:pPr>
            <w:r>
              <w:rPr>
                <w:spacing w:val="-2"/>
                <w:sz w:val="20"/>
              </w:rPr>
              <w:t>DESKRIPTOR</w:t>
            </w:r>
          </w:p>
        </w:tc>
        <w:tc>
          <w:tcPr>
            <w:tcW w:w="1325" w:type="dxa"/>
          </w:tcPr>
          <w:p>
            <w:pPr>
              <w:pStyle w:val="TableParagraph"/>
              <w:spacing w:line="210" w:lineRule="exact"/>
              <w:ind w:left="8" w:right="2"/>
              <w:jc w:val="center"/>
              <w:rPr>
                <w:sz w:val="20"/>
              </w:rPr>
            </w:pPr>
            <w:r>
              <w:rPr>
                <w:spacing w:val="-2"/>
                <w:sz w:val="20"/>
              </w:rPr>
              <w:t>Kriteria</w:t>
            </w:r>
          </w:p>
        </w:tc>
        <w:tc>
          <w:tcPr>
            <w:tcW w:w="1079" w:type="dxa"/>
          </w:tcPr>
          <w:p>
            <w:pPr>
              <w:pStyle w:val="TableParagraph"/>
              <w:spacing w:line="210" w:lineRule="exact"/>
              <w:ind w:left="15"/>
              <w:jc w:val="center"/>
              <w:rPr>
                <w:sz w:val="20"/>
              </w:rPr>
            </w:pPr>
            <w:r>
              <w:rPr>
                <w:spacing w:val="-10"/>
                <w:sz w:val="20"/>
              </w:rPr>
              <w:t>1</w:t>
            </w:r>
          </w:p>
        </w:tc>
        <w:tc>
          <w:tcPr>
            <w:tcW w:w="1004" w:type="dxa"/>
          </w:tcPr>
          <w:p>
            <w:pPr>
              <w:pStyle w:val="TableParagraph"/>
              <w:spacing w:line="210" w:lineRule="exact"/>
              <w:ind w:left="13"/>
              <w:jc w:val="center"/>
              <w:rPr>
                <w:sz w:val="20"/>
              </w:rPr>
            </w:pPr>
            <w:r>
              <w:rPr>
                <w:spacing w:val="-10"/>
                <w:sz w:val="20"/>
              </w:rPr>
              <w:t>2</w:t>
            </w:r>
          </w:p>
        </w:tc>
        <w:tc>
          <w:tcPr>
            <w:tcW w:w="1059" w:type="dxa"/>
          </w:tcPr>
          <w:p>
            <w:pPr>
              <w:pStyle w:val="TableParagraph"/>
              <w:spacing w:line="210" w:lineRule="exact"/>
              <w:ind w:left="10"/>
              <w:jc w:val="center"/>
              <w:rPr>
                <w:sz w:val="20"/>
              </w:rPr>
            </w:pPr>
            <w:r>
              <w:rPr>
                <w:spacing w:val="-10"/>
                <w:sz w:val="20"/>
              </w:rPr>
              <w:t>3</w:t>
            </w:r>
          </w:p>
        </w:tc>
        <w:tc>
          <w:tcPr>
            <w:tcW w:w="1139" w:type="dxa"/>
          </w:tcPr>
          <w:p>
            <w:pPr>
              <w:pStyle w:val="TableParagraph"/>
              <w:spacing w:line="210" w:lineRule="exact"/>
              <w:ind w:left="24"/>
              <w:jc w:val="center"/>
              <w:rPr>
                <w:sz w:val="20"/>
              </w:rPr>
            </w:pPr>
            <w:r>
              <w:rPr>
                <w:spacing w:val="-10"/>
                <w:sz w:val="20"/>
              </w:rPr>
              <w:t>4</w:t>
            </w:r>
          </w:p>
        </w:tc>
        <w:tc>
          <w:tcPr>
            <w:tcW w:w="1144" w:type="dxa"/>
          </w:tcPr>
          <w:p>
            <w:pPr>
              <w:pStyle w:val="TableParagraph"/>
              <w:spacing w:line="210" w:lineRule="exact"/>
              <w:ind w:left="22"/>
              <w:jc w:val="center"/>
              <w:rPr>
                <w:sz w:val="20"/>
              </w:rPr>
            </w:pPr>
            <w:r>
              <w:rPr>
                <w:spacing w:val="-10"/>
                <w:sz w:val="20"/>
              </w:rPr>
              <w:t>5</w:t>
            </w:r>
          </w:p>
        </w:tc>
      </w:tr>
      <w:tr>
        <w:trPr>
          <w:trHeight w:val="415" w:hRule="atLeast"/>
        </w:trPr>
        <w:tc>
          <w:tcPr>
            <w:tcW w:w="485" w:type="dxa"/>
            <w:vMerge/>
            <w:tcBorders>
              <w:top w:val="nil"/>
            </w:tcBorders>
          </w:tcPr>
          <w:p>
            <w:pPr>
              <w:rPr>
                <w:sz w:val="2"/>
                <w:szCs w:val="2"/>
              </w:rPr>
            </w:pPr>
          </w:p>
        </w:tc>
        <w:tc>
          <w:tcPr>
            <w:tcW w:w="1825" w:type="dxa"/>
          </w:tcPr>
          <w:p>
            <w:pPr>
              <w:pStyle w:val="TableParagraph"/>
              <w:rPr>
                <w:sz w:val="18"/>
              </w:rPr>
            </w:pPr>
          </w:p>
        </w:tc>
        <w:tc>
          <w:tcPr>
            <w:tcW w:w="1325" w:type="dxa"/>
          </w:tcPr>
          <w:p>
            <w:pPr>
              <w:pStyle w:val="TableParagraph"/>
              <w:spacing w:before="102"/>
              <w:ind w:left="8"/>
              <w:jc w:val="center"/>
              <w:rPr>
                <w:sz w:val="18"/>
              </w:rPr>
            </w:pPr>
            <w:r>
              <w:rPr>
                <w:spacing w:val="-2"/>
                <w:sz w:val="18"/>
              </w:rPr>
              <w:t>DESKRIPTOR</w:t>
            </w:r>
          </w:p>
        </w:tc>
        <w:tc>
          <w:tcPr>
            <w:tcW w:w="1079" w:type="dxa"/>
          </w:tcPr>
          <w:p>
            <w:pPr>
              <w:pStyle w:val="TableParagraph"/>
              <w:spacing w:line="204" w:lineRule="exact"/>
              <w:ind w:left="297"/>
              <w:rPr>
                <w:sz w:val="18"/>
              </w:rPr>
            </w:pPr>
            <w:r>
              <w:rPr>
                <w:spacing w:val="-2"/>
                <w:sz w:val="18"/>
              </w:rPr>
              <w:t>Sangat</w:t>
            </w:r>
          </w:p>
          <w:p>
            <w:pPr>
              <w:pStyle w:val="TableParagraph"/>
              <w:spacing w:line="188" w:lineRule="exact" w:before="3"/>
              <w:ind w:left="297"/>
              <w:rPr>
                <w:sz w:val="18"/>
              </w:rPr>
            </w:pPr>
            <w:r>
              <w:rPr>
                <w:spacing w:val="-2"/>
                <w:sz w:val="18"/>
              </w:rPr>
              <w:t>rendah</w:t>
            </w:r>
          </w:p>
        </w:tc>
        <w:tc>
          <w:tcPr>
            <w:tcW w:w="1004" w:type="dxa"/>
          </w:tcPr>
          <w:p>
            <w:pPr>
              <w:pStyle w:val="TableParagraph"/>
              <w:spacing w:before="102"/>
              <w:ind w:left="13" w:right="1"/>
              <w:jc w:val="center"/>
              <w:rPr>
                <w:sz w:val="18"/>
              </w:rPr>
            </w:pPr>
            <w:r>
              <w:rPr>
                <w:spacing w:val="-2"/>
                <w:sz w:val="18"/>
              </w:rPr>
              <w:t>Rendah</w:t>
            </w:r>
          </w:p>
        </w:tc>
        <w:tc>
          <w:tcPr>
            <w:tcW w:w="1059" w:type="dxa"/>
          </w:tcPr>
          <w:p>
            <w:pPr>
              <w:pStyle w:val="TableParagraph"/>
              <w:spacing w:before="102"/>
              <w:ind w:left="10"/>
              <w:jc w:val="center"/>
              <w:rPr>
                <w:sz w:val="18"/>
              </w:rPr>
            </w:pPr>
            <w:r>
              <w:rPr>
                <w:spacing w:val="-2"/>
                <w:sz w:val="18"/>
              </w:rPr>
              <w:t>Moderat</w:t>
            </w:r>
          </w:p>
        </w:tc>
        <w:tc>
          <w:tcPr>
            <w:tcW w:w="1139" w:type="dxa"/>
          </w:tcPr>
          <w:p>
            <w:pPr>
              <w:pStyle w:val="TableParagraph"/>
              <w:spacing w:before="102"/>
              <w:ind w:left="24"/>
              <w:jc w:val="center"/>
              <w:rPr>
                <w:sz w:val="18"/>
              </w:rPr>
            </w:pPr>
            <w:r>
              <w:rPr>
                <w:spacing w:val="-2"/>
                <w:sz w:val="18"/>
              </w:rPr>
              <w:t>Tinggi</w:t>
            </w:r>
          </w:p>
        </w:tc>
        <w:tc>
          <w:tcPr>
            <w:tcW w:w="1144" w:type="dxa"/>
          </w:tcPr>
          <w:p>
            <w:pPr>
              <w:pStyle w:val="TableParagraph"/>
              <w:spacing w:line="204" w:lineRule="exact"/>
              <w:ind w:left="332"/>
              <w:rPr>
                <w:sz w:val="18"/>
              </w:rPr>
            </w:pPr>
            <w:r>
              <w:rPr>
                <w:spacing w:val="-2"/>
                <w:sz w:val="18"/>
              </w:rPr>
              <w:t>Sangat</w:t>
            </w:r>
          </w:p>
          <w:p>
            <w:pPr>
              <w:pStyle w:val="TableParagraph"/>
              <w:spacing w:line="188" w:lineRule="exact" w:before="3"/>
              <w:ind w:left="338"/>
              <w:rPr>
                <w:sz w:val="18"/>
              </w:rPr>
            </w:pPr>
            <w:r>
              <w:rPr>
                <w:spacing w:val="-2"/>
                <w:sz w:val="18"/>
              </w:rPr>
              <w:t>Tinggi</w:t>
            </w:r>
          </w:p>
        </w:tc>
      </w:tr>
      <w:tr>
        <w:trPr>
          <w:trHeight w:val="210" w:hRule="atLeast"/>
        </w:trPr>
        <w:tc>
          <w:tcPr>
            <w:tcW w:w="485" w:type="dxa"/>
            <w:vMerge/>
            <w:tcBorders>
              <w:top w:val="nil"/>
            </w:tcBorders>
          </w:tcPr>
          <w:p>
            <w:pPr>
              <w:rPr>
                <w:sz w:val="2"/>
                <w:szCs w:val="2"/>
              </w:rPr>
            </w:pPr>
          </w:p>
        </w:tc>
        <w:tc>
          <w:tcPr>
            <w:tcW w:w="8575" w:type="dxa"/>
            <w:gridSpan w:val="7"/>
          </w:tcPr>
          <w:p>
            <w:pPr>
              <w:pStyle w:val="TableParagraph"/>
              <w:spacing w:line="191" w:lineRule="exact"/>
              <w:ind w:left="9"/>
              <w:jc w:val="center"/>
              <w:rPr>
                <w:b/>
                <w:sz w:val="18"/>
              </w:rPr>
            </w:pPr>
            <w:r>
              <w:rPr>
                <w:b/>
                <w:spacing w:val="-2"/>
                <w:sz w:val="18"/>
              </w:rPr>
              <w:t>DAMPAK</w:t>
            </w:r>
          </w:p>
        </w:tc>
      </w:tr>
    </w:tbl>
    <w:p>
      <w:pPr>
        <w:pStyle w:val="BodyText"/>
        <w:spacing w:before="4"/>
        <w:jc w:val="both"/>
      </w:pPr>
      <w:r>
        <w:rPr/>
        <w:t>Sumber</w:t>
      </w:r>
      <w:r>
        <w:rPr>
          <w:spacing w:val="-4"/>
        </w:rPr>
        <w:t> </w:t>
      </w:r>
      <w:r>
        <w:rPr/>
        <w:t>:</w:t>
      </w:r>
      <w:r>
        <w:rPr>
          <w:spacing w:val="-2"/>
        </w:rPr>
        <w:t> </w:t>
      </w:r>
      <w:r>
        <w:rPr/>
        <w:t>(Yung,</w:t>
      </w:r>
      <w:r>
        <w:rPr>
          <w:spacing w:val="-1"/>
        </w:rPr>
        <w:t> </w:t>
      </w:r>
      <w:r>
        <w:rPr>
          <w:spacing w:val="-2"/>
        </w:rPr>
        <w:t>2008)</w:t>
      </w:r>
    </w:p>
    <w:p>
      <w:pPr>
        <w:pStyle w:val="BodyText"/>
        <w:spacing w:before="140"/>
        <w:ind w:left="0"/>
      </w:pPr>
    </w:p>
    <w:p>
      <w:pPr>
        <w:pStyle w:val="BodyText"/>
        <w:tabs>
          <w:tab w:pos="3337" w:val="left" w:leader="none"/>
        </w:tabs>
        <w:ind w:left="251"/>
        <w:jc w:val="both"/>
      </w:pPr>
      <w:r>
        <w:rPr>
          <w:i/>
        </w:rPr>
        <w:t>Low</w:t>
      </w:r>
      <w:r>
        <w:rPr>
          <w:i/>
          <w:spacing w:val="-5"/>
        </w:rPr>
        <w:t> </w:t>
      </w:r>
      <w:r>
        <w:rPr/>
        <w:t>(1-</w:t>
      </w:r>
      <w:r>
        <w:rPr>
          <w:spacing w:val="-5"/>
        </w:rPr>
        <w:t>5)</w:t>
      </w:r>
      <w:r>
        <w:rPr/>
        <w:tab/>
        <w:t>:</w:t>
      </w:r>
      <w:r>
        <w:rPr>
          <w:spacing w:val="73"/>
        </w:rPr>
        <w:t>  </w:t>
      </w:r>
      <w:r>
        <w:rPr/>
        <w:t>Risiko</w:t>
      </w:r>
      <w:r>
        <w:rPr>
          <w:spacing w:val="-1"/>
        </w:rPr>
        <w:t> </w:t>
      </w:r>
      <w:r>
        <w:rPr/>
        <w:t>dapat</w:t>
      </w:r>
      <w:r>
        <w:rPr>
          <w:spacing w:val="-2"/>
        </w:rPr>
        <w:t> </w:t>
      </w:r>
      <w:r>
        <w:rPr/>
        <w:t>diterima</w:t>
      </w:r>
      <w:r>
        <w:rPr>
          <w:spacing w:val="1"/>
        </w:rPr>
        <w:t> </w:t>
      </w:r>
      <w:r>
        <w:rPr/>
        <w:t>dalam</w:t>
      </w:r>
      <w:r>
        <w:rPr>
          <w:spacing w:val="-2"/>
        </w:rPr>
        <w:t> </w:t>
      </w:r>
      <w:r>
        <w:rPr/>
        <w:t>batas toleransi</w:t>
      </w:r>
      <w:r>
        <w:rPr>
          <w:spacing w:val="-1"/>
        </w:rPr>
        <w:t> </w:t>
      </w:r>
      <w:r>
        <w:rPr>
          <w:spacing w:val="-2"/>
        </w:rPr>
        <w:t>perusahaan.</w:t>
      </w:r>
    </w:p>
    <w:p>
      <w:pPr>
        <w:pStyle w:val="BodyText"/>
        <w:tabs>
          <w:tab w:pos="3337" w:val="left" w:leader="none"/>
        </w:tabs>
        <w:ind w:left="251"/>
        <w:jc w:val="both"/>
      </w:pPr>
      <w:r>
        <w:rPr>
          <w:i/>
        </w:rPr>
        <w:t>Low</w:t>
      </w:r>
      <w:r>
        <w:rPr>
          <w:i/>
          <w:spacing w:val="-1"/>
        </w:rPr>
        <w:t> </w:t>
      </w:r>
      <w:r>
        <w:rPr>
          <w:i/>
        </w:rPr>
        <w:t>to</w:t>
      </w:r>
      <w:r>
        <w:rPr>
          <w:i/>
          <w:spacing w:val="-2"/>
        </w:rPr>
        <w:t> </w:t>
      </w:r>
      <w:r>
        <w:rPr>
          <w:i/>
        </w:rPr>
        <w:t>moderate </w:t>
      </w:r>
      <w:r>
        <w:rPr/>
        <w:t>(6-</w:t>
      </w:r>
      <w:r>
        <w:rPr>
          <w:spacing w:val="-5"/>
        </w:rPr>
        <w:t>11)</w:t>
      </w:r>
      <w:r>
        <w:rPr/>
        <w:tab/>
        <w:t>:</w:t>
      </w:r>
      <w:r>
        <w:rPr>
          <w:spacing w:val="71"/>
        </w:rPr>
        <w:t>  </w:t>
      </w:r>
      <w:r>
        <w:rPr/>
        <w:t>Risiko masih</w:t>
      </w:r>
      <w:r>
        <w:rPr>
          <w:spacing w:val="-2"/>
        </w:rPr>
        <w:t> </w:t>
      </w:r>
      <w:r>
        <w:rPr/>
        <w:t>dapat</w:t>
      </w:r>
      <w:r>
        <w:rPr>
          <w:spacing w:val="-7"/>
        </w:rPr>
        <w:t> </w:t>
      </w:r>
      <w:r>
        <w:rPr/>
        <w:t>diterima dalam</w:t>
      </w:r>
      <w:r>
        <w:rPr>
          <w:spacing w:val="-7"/>
        </w:rPr>
        <w:t> </w:t>
      </w:r>
      <w:r>
        <w:rPr/>
        <w:t>batas toleransi</w:t>
      </w:r>
      <w:r>
        <w:rPr>
          <w:spacing w:val="-7"/>
        </w:rPr>
        <w:t> </w:t>
      </w:r>
      <w:r>
        <w:rPr/>
        <w:t>perusahaan,</w:t>
      </w:r>
      <w:r>
        <w:rPr>
          <w:spacing w:val="-6"/>
        </w:rPr>
        <w:t> </w:t>
      </w:r>
      <w:r>
        <w:rPr>
          <w:spacing w:val="-2"/>
        </w:rPr>
        <w:t>dapat</w:t>
      </w:r>
    </w:p>
    <w:p>
      <w:pPr>
        <w:pStyle w:val="BodyText"/>
        <w:ind w:left="3648"/>
        <w:jc w:val="both"/>
      </w:pPr>
      <w:r>
        <w:rPr/>
        <w:t>dilakukan</w:t>
      </w:r>
      <w:r>
        <w:rPr>
          <w:spacing w:val="-1"/>
        </w:rPr>
        <w:t> </w:t>
      </w:r>
      <w:r>
        <w:rPr/>
        <w:t>pengendalian</w:t>
      </w:r>
      <w:r>
        <w:rPr>
          <w:spacing w:val="-1"/>
        </w:rPr>
        <w:t> </w:t>
      </w:r>
      <w:r>
        <w:rPr/>
        <w:t>tambahan</w:t>
      </w:r>
      <w:r>
        <w:rPr>
          <w:spacing w:val="-1"/>
        </w:rPr>
        <w:t> </w:t>
      </w:r>
      <w:r>
        <w:rPr/>
        <w:t>jika </w:t>
      </w:r>
      <w:r>
        <w:rPr>
          <w:spacing w:val="-2"/>
        </w:rPr>
        <w:t>diperlukan.</w:t>
      </w:r>
    </w:p>
    <w:p>
      <w:pPr>
        <w:pStyle w:val="BodyText"/>
        <w:tabs>
          <w:tab w:pos="3337" w:val="left" w:leader="none"/>
        </w:tabs>
        <w:ind w:left="251"/>
        <w:jc w:val="both"/>
      </w:pPr>
      <w:r>
        <w:rPr>
          <w:i/>
        </w:rPr>
        <w:t>Moderate</w:t>
      </w:r>
      <w:r>
        <w:rPr>
          <w:i/>
          <w:spacing w:val="-4"/>
        </w:rPr>
        <w:t> </w:t>
      </w:r>
      <w:r>
        <w:rPr/>
        <w:t>(12-</w:t>
      </w:r>
      <w:r>
        <w:rPr>
          <w:spacing w:val="-5"/>
        </w:rPr>
        <w:t>15)</w:t>
      </w:r>
      <w:r>
        <w:rPr/>
        <w:tab/>
        <w:t>:</w:t>
      </w:r>
      <w:r>
        <w:rPr>
          <w:spacing w:val="73"/>
        </w:rPr>
        <w:t>  </w:t>
      </w:r>
      <w:r>
        <w:rPr/>
        <w:t>Pengendalian</w:t>
      </w:r>
      <w:r>
        <w:rPr>
          <w:spacing w:val="-5"/>
        </w:rPr>
        <w:t> </w:t>
      </w:r>
      <w:r>
        <w:rPr/>
        <w:t>tambahan</w:t>
      </w:r>
      <w:r>
        <w:rPr>
          <w:spacing w:val="-5"/>
        </w:rPr>
        <w:t> </w:t>
      </w:r>
      <w:r>
        <w:rPr/>
        <w:t>disarankan</w:t>
      </w:r>
      <w:r>
        <w:rPr>
          <w:spacing w:val="-6"/>
        </w:rPr>
        <w:t> </w:t>
      </w:r>
      <w:r>
        <w:rPr/>
        <w:t>untuk</w:t>
      </w:r>
      <w:r>
        <w:rPr>
          <w:spacing w:val="-10"/>
        </w:rPr>
        <w:t> </w:t>
      </w:r>
      <w:r>
        <w:rPr/>
        <w:t>menurunkan</w:t>
      </w:r>
      <w:r>
        <w:rPr>
          <w:spacing w:val="-6"/>
        </w:rPr>
        <w:t> </w:t>
      </w:r>
      <w:r>
        <w:rPr/>
        <w:t>tingkat</w:t>
      </w:r>
      <w:r>
        <w:rPr>
          <w:spacing w:val="-6"/>
        </w:rPr>
        <w:t> </w:t>
      </w:r>
      <w:r>
        <w:rPr>
          <w:spacing w:val="-2"/>
        </w:rPr>
        <w:t>risiko</w:t>
      </w:r>
    </w:p>
    <w:p>
      <w:pPr>
        <w:pStyle w:val="BodyText"/>
        <w:ind w:left="3648"/>
        <w:jc w:val="both"/>
      </w:pPr>
      <w:r>
        <w:rPr/>
        <w:t>dan</w:t>
      </w:r>
      <w:r>
        <w:rPr>
          <w:spacing w:val="-1"/>
        </w:rPr>
        <w:t> </w:t>
      </w:r>
      <w:r>
        <w:rPr/>
        <w:t>memperhatikan peraturan perundangan yang </w:t>
      </w:r>
      <w:r>
        <w:rPr>
          <w:spacing w:val="-2"/>
        </w:rPr>
        <w:t>berlaku</w:t>
      </w:r>
    </w:p>
    <w:p>
      <w:pPr>
        <w:pStyle w:val="BodyText"/>
        <w:tabs>
          <w:tab w:pos="3337" w:val="left" w:leader="none"/>
        </w:tabs>
        <w:spacing w:before="1"/>
        <w:ind w:left="251"/>
        <w:jc w:val="both"/>
      </w:pPr>
      <w:r>
        <w:rPr>
          <w:i/>
        </w:rPr>
        <w:t>Moderate</w:t>
      </w:r>
      <w:r>
        <w:rPr>
          <w:i/>
          <w:spacing w:val="-2"/>
        </w:rPr>
        <w:t> </w:t>
      </w:r>
      <w:r>
        <w:rPr>
          <w:i/>
        </w:rPr>
        <w:t>to</w:t>
      </w:r>
      <w:r>
        <w:rPr>
          <w:i/>
          <w:spacing w:val="-2"/>
        </w:rPr>
        <w:t> </w:t>
      </w:r>
      <w:r>
        <w:rPr>
          <w:i/>
        </w:rPr>
        <w:t>high</w:t>
      </w:r>
      <w:r>
        <w:rPr>
          <w:i/>
          <w:spacing w:val="-1"/>
        </w:rPr>
        <w:t> </w:t>
      </w:r>
      <w:r>
        <w:rPr/>
        <w:t>(16-</w:t>
      </w:r>
      <w:r>
        <w:rPr>
          <w:spacing w:val="-5"/>
        </w:rPr>
        <w:t>19)</w:t>
      </w:r>
      <w:r>
        <w:rPr/>
        <w:tab/>
        <w:t>:</w:t>
      </w:r>
      <w:r>
        <w:rPr>
          <w:spacing w:val="74"/>
        </w:rPr>
        <w:t>  </w:t>
      </w:r>
      <w:r>
        <w:rPr/>
        <w:t>Perlu</w:t>
      </w:r>
      <w:r>
        <w:rPr>
          <w:spacing w:val="34"/>
        </w:rPr>
        <w:t>  </w:t>
      </w:r>
      <w:r>
        <w:rPr/>
        <w:t>dilakukan</w:t>
      </w:r>
      <w:r>
        <w:rPr>
          <w:spacing w:val="34"/>
        </w:rPr>
        <w:t>  </w:t>
      </w:r>
      <w:r>
        <w:rPr/>
        <w:t>tindakan</w:t>
      </w:r>
      <w:r>
        <w:rPr>
          <w:spacing w:val="34"/>
        </w:rPr>
        <w:t>  </w:t>
      </w:r>
      <w:r>
        <w:rPr/>
        <w:t>segera,</w:t>
      </w:r>
      <w:r>
        <w:rPr>
          <w:spacing w:val="34"/>
        </w:rPr>
        <w:t>  </w:t>
      </w:r>
      <w:r>
        <w:rPr/>
        <w:t>pekerjaan</w:t>
      </w:r>
      <w:r>
        <w:rPr>
          <w:spacing w:val="31"/>
        </w:rPr>
        <w:t>  </w:t>
      </w:r>
      <w:r>
        <w:rPr/>
        <w:t>sebaiknya</w:t>
      </w:r>
      <w:r>
        <w:rPr>
          <w:spacing w:val="35"/>
        </w:rPr>
        <w:t>  </w:t>
      </w:r>
      <w:r>
        <w:rPr>
          <w:spacing w:val="-2"/>
        </w:rPr>
        <w:t>tidak</w:t>
      </w:r>
    </w:p>
    <w:p>
      <w:pPr>
        <w:pStyle w:val="BodyText"/>
        <w:ind w:left="3648" w:right="256"/>
        <w:jc w:val="both"/>
      </w:pPr>
      <w:r>
        <w:rPr/>
        <w:t>dilakukan sampai</w:t>
      </w:r>
      <w:r>
        <w:rPr>
          <w:spacing w:val="-5"/>
        </w:rPr>
        <w:t> </w:t>
      </w:r>
      <w:r>
        <w:rPr/>
        <w:t>tingkat risiko diturunkan dan</w:t>
      </w:r>
      <w:r>
        <w:rPr>
          <w:spacing w:val="-5"/>
        </w:rPr>
        <w:t> </w:t>
      </w:r>
      <w:r>
        <w:rPr/>
        <w:t>penggunaan</w:t>
      </w:r>
      <w:r>
        <w:rPr>
          <w:spacing w:val="-5"/>
        </w:rPr>
        <w:t> </w:t>
      </w:r>
      <w:r>
        <w:rPr/>
        <w:t>sumber daya</w:t>
      </w:r>
      <w:r>
        <w:rPr>
          <w:spacing w:val="-3"/>
        </w:rPr>
        <w:t> </w:t>
      </w:r>
      <w:r>
        <w:rPr/>
        <w:t>dipertimbangkan</w:t>
      </w:r>
      <w:r>
        <w:rPr>
          <w:spacing w:val="-1"/>
        </w:rPr>
        <w:t> </w:t>
      </w:r>
      <w:r>
        <w:rPr/>
        <w:t>untuk</w:t>
      </w:r>
      <w:r>
        <w:rPr>
          <w:spacing w:val="-1"/>
        </w:rPr>
        <w:t> </w:t>
      </w:r>
      <w:r>
        <w:rPr/>
        <w:t>dialokasikan</w:t>
      </w:r>
      <w:r>
        <w:rPr>
          <w:spacing w:val="-1"/>
        </w:rPr>
        <w:t> </w:t>
      </w:r>
      <w:r>
        <w:rPr/>
        <w:t>dalam</w:t>
      </w:r>
      <w:r>
        <w:rPr>
          <w:spacing w:val="-2"/>
        </w:rPr>
        <w:t> </w:t>
      </w:r>
      <w:r>
        <w:rPr/>
        <w:t>menurunkan</w:t>
      </w:r>
      <w:r>
        <w:rPr>
          <w:spacing w:val="-1"/>
        </w:rPr>
        <w:t> </w:t>
      </w:r>
      <w:r>
        <w:rPr>
          <w:spacing w:val="-2"/>
        </w:rPr>
        <w:t>risiko</w:t>
      </w:r>
    </w:p>
    <w:p>
      <w:pPr>
        <w:pStyle w:val="BodyText"/>
        <w:tabs>
          <w:tab w:pos="3337" w:val="left" w:leader="none"/>
        </w:tabs>
        <w:ind w:left="3648" w:right="258" w:hanging="3396"/>
        <w:jc w:val="both"/>
      </w:pPr>
      <w:r>
        <w:rPr>
          <w:i/>
        </w:rPr>
        <w:t>High </w:t>
      </w:r>
      <w:r>
        <w:rPr/>
        <w:t>(20-25)</w:t>
        <w:tab/>
        <w:t>:</w:t>
      </w:r>
      <w:r>
        <w:rPr>
          <w:spacing w:val="80"/>
        </w:rPr>
        <w:t> </w:t>
      </w:r>
      <w:r>
        <w:rPr/>
        <w:t>Risiko sangat tinggi dan berpotensi menimbulkan kerugian serius terhadap pekerja, aset, maupun lingkungan. Pekerjaan tidak boleh dilakukan sampai tingkat risiko diturunkan.</w:t>
      </w:r>
    </w:p>
    <w:p>
      <w:pPr>
        <w:spacing w:before="120" w:after="22"/>
        <w:ind w:left="141" w:right="0" w:firstLine="0"/>
        <w:jc w:val="left"/>
        <w:rPr>
          <w:i/>
          <w:sz w:val="20"/>
        </w:rPr>
      </w:pPr>
      <w:r>
        <w:rPr>
          <w:b/>
          <w:sz w:val="20"/>
        </w:rPr>
        <w:t>Tabel</w:t>
      </w:r>
      <w:r>
        <w:rPr>
          <w:b/>
          <w:spacing w:val="-3"/>
          <w:sz w:val="20"/>
        </w:rPr>
        <w:t> </w:t>
      </w:r>
      <w:r>
        <w:rPr>
          <w:b/>
          <w:sz w:val="20"/>
        </w:rPr>
        <w:t>2</w:t>
      </w:r>
      <w:r>
        <w:rPr>
          <w:i/>
          <w:sz w:val="20"/>
        </w:rPr>
        <w:t>.</w:t>
      </w:r>
      <w:r>
        <w:rPr>
          <w:i/>
          <w:spacing w:val="-1"/>
          <w:sz w:val="20"/>
        </w:rPr>
        <w:t> </w:t>
      </w:r>
      <w:r>
        <w:rPr>
          <w:i/>
          <w:sz w:val="20"/>
        </w:rPr>
        <w:t>Likelihood</w:t>
      </w:r>
      <w:r>
        <w:rPr>
          <w:i/>
          <w:spacing w:val="-1"/>
          <w:sz w:val="20"/>
        </w:rPr>
        <w:t> </w:t>
      </w:r>
      <w:r>
        <w:rPr>
          <w:i/>
          <w:spacing w:val="-2"/>
          <w:sz w:val="20"/>
        </w:rPr>
        <w:t>Matrix</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1"/>
        <w:gridCol w:w="1981"/>
        <w:gridCol w:w="6098"/>
      </w:tblGrid>
      <w:tr>
        <w:trPr>
          <w:trHeight w:val="370" w:hRule="atLeast"/>
        </w:trPr>
        <w:tc>
          <w:tcPr>
            <w:tcW w:w="991" w:type="dxa"/>
          </w:tcPr>
          <w:p>
            <w:pPr>
              <w:pStyle w:val="TableParagraph"/>
              <w:spacing w:before="118"/>
              <w:ind w:left="10" w:right="4"/>
              <w:jc w:val="center"/>
              <w:rPr>
                <w:b/>
                <w:sz w:val="20"/>
              </w:rPr>
            </w:pPr>
            <w:r>
              <w:rPr>
                <w:b/>
                <w:spacing w:val="-2"/>
                <w:sz w:val="20"/>
              </w:rPr>
              <w:t>Tingkat</w:t>
            </w:r>
          </w:p>
        </w:tc>
        <w:tc>
          <w:tcPr>
            <w:tcW w:w="1981" w:type="dxa"/>
          </w:tcPr>
          <w:p>
            <w:pPr>
              <w:pStyle w:val="TableParagraph"/>
              <w:spacing w:before="118"/>
              <w:ind w:left="4" w:right="4"/>
              <w:jc w:val="center"/>
              <w:rPr>
                <w:b/>
                <w:sz w:val="20"/>
              </w:rPr>
            </w:pPr>
            <w:r>
              <w:rPr>
                <w:b/>
                <w:spacing w:val="-2"/>
                <w:sz w:val="20"/>
              </w:rPr>
              <w:t>Kriteria</w:t>
            </w:r>
          </w:p>
        </w:tc>
        <w:tc>
          <w:tcPr>
            <w:tcW w:w="6098" w:type="dxa"/>
          </w:tcPr>
          <w:p>
            <w:pPr>
              <w:pStyle w:val="TableParagraph"/>
              <w:spacing w:before="118"/>
              <w:ind w:left="7" w:right="4"/>
              <w:jc w:val="center"/>
              <w:rPr>
                <w:b/>
                <w:sz w:val="20"/>
              </w:rPr>
            </w:pPr>
            <w:r>
              <w:rPr>
                <w:b/>
                <w:spacing w:val="-2"/>
                <w:sz w:val="20"/>
              </w:rPr>
              <w:t>Penjelasan</w:t>
            </w:r>
          </w:p>
        </w:tc>
      </w:tr>
      <w:tr>
        <w:trPr>
          <w:trHeight w:val="400" w:hRule="atLeast"/>
        </w:trPr>
        <w:tc>
          <w:tcPr>
            <w:tcW w:w="991" w:type="dxa"/>
          </w:tcPr>
          <w:p>
            <w:pPr>
              <w:pStyle w:val="TableParagraph"/>
              <w:spacing w:before="118"/>
              <w:ind w:left="10"/>
              <w:jc w:val="center"/>
              <w:rPr>
                <w:sz w:val="20"/>
              </w:rPr>
            </w:pPr>
            <w:r>
              <w:rPr>
                <w:spacing w:val="-10"/>
                <w:sz w:val="20"/>
              </w:rPr>
              <w:t>1</w:t>
            </w:r>
          </w:p>
        </w:tc>
        <w:tc>
          <w:tcPr>
            <w:tcW w:w="1981" w:type="dxa"/>
          </w:tcPr>
          <w:p>
            <w:pPr>
              <w:pStyle w:val="TableParagraph"/>
              <w:spacing w:before="118"/>
              <w:ind w:left="4" w:right="5"/>
              <w:jc w:val="center"/>
              <w:rPr>
                <w:sz w:val="20"/>
              </w:rPr>
            </w:pPr>
            <w:r>
              <w:rPr>
                <w:sz w:val="20"/>
              </w:rPr>
              <w:t>Hampir</w:t>
            </w:r>
            <w:r>
              <w:rPr>
                <w:spacing w:val="-5"/>
                <w:sz w:val="20"/>
              </w:rPr>
              <w:t> </w:t>
            </w:r>
            <w:r>
              <w:rPr>
                <w:spacing w:val="-2"/>
                <w:sz w:val="20"/>
              </w:rPr>
              <w:t>tidak</w:t>
            </w:r>
          </w:p>
        </w:tc>
        <w:tc>
          <w:tcPr>
            <w:tcW w:w="6098" w:type="dxa"/>
          </w:tcPr>
          <w:p>
            <w:pPr>
              <w:pStyle w:val="TableParagraph"/>
              <w:spacing w:before="119"/>
              <w:ind w:left="7" w:right="7"/>
              <w:jc w:val="center"/>
              <w:rPr>
                <w:rFonts w:ascii="Verdana" w:hAnsi="Verdana"/>
                <w:sz w:val="20"/>
              </w:rPr>
            </w:pPr>
            <w:r>
              <w:rPr>
                <w:rFonts w:ascii="Verdana" w:hAnsi="Verdana"/>
                <w:sz w:val="20"/>
              </w:rPr>
              <w:t>≤</w:t>
            </w:r>
            <w:r>
              <w:rPr>
                <w:rFonts w:ascii="Verdana" w:hAnsi="Verdana"/>
                <w:spacing w:val="26"/>
                <w:sz w:val="20"/>
              </w:rPr>
              <w:t> </w:t>
            </w:r>
            <w:r>
              <w:rPr>
                <w:rFonts w:ascii="Verdana" w:hAnsi="Verdana"/>
                <w:sz w:val="20"/>
              </w:rPr>
              <w:t>1x</w:t>
            </w:r>
            <w:r>
              <w:rPr>
                <w:rFonts w:ascii="Verdana" w:hAnsi="Verdana"/>
                <w:spacing w:val="31"/>
                <w:sz w:val="20"/>
              </w:rPr>
              <w:t> </w:t>
            </w:r>
            <w:r>
              <w:rPr>
                <w:rFonts w:ascii="Verdana" w:hAnsi="Verdana"/>
                <w:sz w:val="20"/>
              </w:rPr>
              <w:t>kejadian</w:t>
            </w:r>
            <w:r>
              <w:rPr>
                <w:rFonts w:ascii="Verdana" w:hAnsi="Verdana"/>
                <w:spacing w:val="29"/>
                <w:sz w:val="20"/>
              </w:rPr>
              <w:t> </w:t>
            </w:r>
            <w:r>
              <w:rPr>
                <w:rFonts w:ascii="Verdana" w:hAnsi="Verdana"/>
                <w:sz w:val="20"/>
              </w:rPr>
              <w:t>dalam</w:t>
            </w:r>
            <w:r>
              <w:rPr>
                <w:rFonts w:ascii="Verdana" w:hAnsi="Verdana"/>
                <w:spacing w:val="28"/>
                <w:sz w:val="20"/>
              </w:rPr>
              <w:t> </w:t>
            </w:r>
            <w:r>
              <w:rPr>
                <w:rFonts w:ascii="Verdana" w:hAnsi="Verdana"/>
                <w:sz w:val="20"/>
              </w:rPr>
              <w:t>lebih</w:t>
            </w:r>
            <w:r>
              <w:rPr>
                <w:rFonts w:ascii="Verdana" w:hAnsi="Verdana"/>
                <w:spacing w:val="27"/>
                <w:sz w:val="20"/>
              </w:rPr>
              <w:t> </w:t>
            </w:r>
            <w:r>
              <w:rPr>
                <w:rFonts w:ascii="Verdana" w:hAnsi="Verdana"/>
                <w:sz w:val="20"/>
              </w:rPr>
              <w:t>5</w:t>
            </w:r>
            <w:r>
              <w:rPr>
                <w:rFonts w:ascii="Verdana" w:hAnsi="Verdana"/>
                <w:spacing w:val="27"/>
                <w:sz w:val="20"/>
              </w:rPr>
              <w:t> </w:t>
            </w:r>
            <w:r>
              <w:rPr>
                <w:rFonts w:ascii="Verdana" w:hAnsi="Verdana"/>
                <w:sz w:val="20"/>
              </w:rPr>
              <w:t>tahun</w:t>
            </w:r>
            <w:r>
              <w:rPr>
                <w:rFonts w:ascii="Verdana" w:hAnsi="Verdana"/>
                <w:spacing w:val="21"/>
                <w:sz w:val="20"/>
              </w:rPr>
              <w:t> </w:t>
            </w:r>
            <w:r>
              <w:rPr>
                <w:rFonts w:ascii="Verdana" w:hAnsi="Verdana"/>
                <w:spacing w:val="-2"/>
                <w:sz w:val="20"/>
              </w:rPr>
              <w:t>terakhir</w:t>
            </w:r>
          </w:p>
        </w:tc>
      </w:tr>
      <w:tr>
        <w:trPr>
          <w:trHeight w:val="375" w:hRule="atLeast"/>
        </w:trPr>
        <w:tc>
          <w:tcPr>
            <w:tcW w:w="991" w:type="dxa"/>
          </w:tcPr>
          <w:p>
            <w:pPr>
              <w:pStyle w:val="TableParagraph"/>
              <w:spacing w:before="118"/>
              <w:ind w:left="10"/>
              <w:jc w:val="center"/>
              <w:rPr>
                <w:sz w:val="20"/>
              </w:rPr>
            </w:pPr>
            <w:r>
              <w:rPr>
                <w:spacing w:val="-10"/>
                <w:sz w:val="20"/>
              </w:rPr>
              <w:t>2</w:t>
            </w:r>
          </w:p>
        </w:tc>
        <w:tc>
          <w:tcPr>
            <w:tcW w:w="1981" w:type="dxa"/>
          </w:tcPr>
          <w:p>
            <w:pPr>
              <w:pStyle w:val="TableParagraph"/>
              <w:spacing w:before="118"/>
              <w:ind w:left="4" w:right="1"/>
              <w:jc w:val="center"/>
              <w:rPr>
                <w:sz w:val="20"/>
              </w:rPr>
            </w:pPr>
            <w:r>
              <w:rPr>
                <w:spacing w:val="-2"/>
                <w:sz w:val="20"/>
              </w:rPr>
              <w:t>Jarang</w:t>
            </w:r>
          </w:p>
        </w:tc>
        <w:tc>
          <w:tcPr>
            <w:tcW w:w="6098" w:type="dxa"/>
          </w:tcPr>
          <w:p>
            <w:pPr>
              <w:pStyle w:val="TableParagraph"/>
              <w:spacing w:before="118"/>
              <w:ind w:left="8" w:right="1"/>
              <w:jc w:val="center"/>
              <w:rPr>
                <w:sz w:val="20"/>
              </w:rPr>
            </w:pPr>
            <w:r>
              <w:rPr>
                <w:sz w:val="20"/>
              </w:rPr>
              <w:t>1 kejadian dalam 5 tahun</w:t>
            </w:r>
            <w:r>
              <w:rPr>
                <w:spacing w:val="1"/>
                <w:sz w:val="20"/>
              </w:rPr>
              <w:t> </w:t>
            </w:r>
            <w:r>
              <w:rPr>
                <w:spacing w:val="-2"/>
                <w:sz w:val="20"/>
              </w:rPr>
              <w:t>terakhir</w:t>
            </w:r>
          </w:p>
        </w:tc>
      </w:tr>
      <w:tr>
        <w:trPr>
          <w:trHeight w:val="370" w:hRule="atLeast"/>
        </w:trPr>
        <w:tc>
          <w:tcPr>
            <w:tcW w:w="991" w:type="dxa"/>
          </w:tcPr>
          <w:p>
            <w:pPr>
              <w:pStyle w:val="TableParagraph"/>
              <w:spacing w:before="118"/>
              <w:ind w:left="10"/>
              <w:jc w:val="center"/>
              <w:rPr>
                <w:sz w:val="20"/>
              </w:rPr>
            </w:pPr>
            <w:r>
              <w:rPr>
                <w:spacing w:val="-10"/>
                <w:sz w:val="20"/>
              </w:rPr>
              <w:t>3</w:t>
            </w:r>
          </w:p>
        </w:tc>
        <w:tc>
          <w:tcPr>
            <w:tcW w:w="1981" w:type="dxa"/>
          </w:tcPr>
          <w:p>
            <w:pPr>
              <w:pStyle w:val="TableParagraph"/>
              <w:spacing w:before="118"/>
              <w:ind w:left="5" w:right="1"/>
              <w:jc w:val="center"/>
              <w:rPr>
                <w:sz w:val="20"/>
              </w:rPr>
            </w:pPr>
            <w:r>
              <w:rPr>
                <w:spacing w:val="-2"/>
                <w:sz w:val="20"/>
              </w:rPr>
              <w:t>Mungkin</w:t>
            </w:r>
          </w:p>
        </w:tc>
        <w:tc>
          <w:tcPr>
            <w:tcW w:w="6098" w:type="dxa"/>
          </w:tcPr>
          <w:p>
            <w:pPr>
              <w:pStyle w:val="TableParagraph"/>
              <w:spacing w:before="118"/>
              <w:ind w:left="8" w:right="1"/>
              <w:jc w:val="center"/>
              <w:rPr>
                <w:sz w:val="20"/>
              </w:rPr>
            </w:pPr>
            <w:r>
              <w:rPr>
                <w:sz w:val="20"/>
              </w:rPr>
              <w:t>1 kejadian dalam 3 tahun</w:t>
            </w:r>
            <w:r>
              <w:rPr>
                <w:spacing w:val="1"/>
                <w:sz w:val="20"/>
              </w:rPr>
              <w:t> </w:t>
            </w:r>
            <w:r>
              <w:rPr>
                <w:spacing w:val="-2"/>
                <w:sz w:val="20"/>
              </w:rPr>
              <w:t>terakhir</w:t>
            </w:r>
          </w:p>
        </w:tc>
      </w:tr>
      <w:tr>
        <w:trPr>
          <w:trHeight w:val="370" w:hRule="atLeast"/>
        </w:trPr>
        <w:tc>
          <w:tcPr>
            <w:tcW w:w="991" w:type="dxa"/>
          </w:tcPr>
          <w:p>
            <w:pPr>
              <w:pStyle w:val="TableParagraph"/>
              <w:spacing w:before="119"/>
              <w:ind w:left="10"/>
              <w:jc w:val="center"/>
              <w:rPr>
                <w:sz w:val="20"/>
              </w:rPr>
            </w:pPr>
            <w:r>
              <w:rPr>
                <w:spacing w:val="-10"/>
                <w:sz w:val="20"/>
              </w:rPr>
              <w:t>4</w:t>
            </w:r>
          </w:p>
        </w:tc>
        <w:tc>
          <w:tcPr>
            <w:tcW w:w="1981" w:type="dxa"/>
          </w:tcPr>
          <w:p>
            <w:pPr>
              <w:pStyle w:val="TableParagraph"/>
              <w:spacing w:before="119"/>
              <w:ind w:left="4" w:right="5"/>
              <w:jc w:val="center"/>
              <w:rPr>
                <w:sz w:val="20"/>
              </w:rPr>
            </w:pPr>
            <w:r>
              <w:rPr>
                <w:spacing w:val="-2"/>
                <w:sz w:val="20"/>
              </w:rPr>
              <w:t>Sering</w:t>
            </w:r>
          </w:p>
        </w:tc>
        <w:tc>
          <w:tcPr>
            <w:tcW w:w="6098" w:type="dxa"/>
          </w:tcPr>
          <w:p>
            <w:pPr>
              <w:pStyle w:val="TableParagraph"/>
              <w:spacing w:before="119"/>
              <w:ind w:left="8" w:right="1"/>
              <w:jc w:val="center"/>
              <w:rPr>
                <w:sz w:val="20"/>
              </w:rPr>
            </w:pPr>
            <w:r>
              <w:rPr>
                <w:sz w:val="20"/>
              </w:rPr>
              <w:t>1 kejadian dalam 2 tahun</w:t>
            </w:r>
            <w:r>
              <w:rPr>
                <w:spacing w:val="1"/>
                <w:sz w:val="20"/>
              </w:rPr>
              <w:t> </w:t>
            </w:r>
            <w:r>
              <w:rPr>
                <w:spacing w:val="-2"/>
                <w:sz w:val="20"/>
              </w:rPr>
              <w:t>terakhir</w:t>
            </w:r>
          </w:p>
        </w:tc>
      </w:tr>
      <w:tr>
        <w:trPr>
          <w:trHeight w:val="370" w:hRule="atLeast"/>
        </w:trPr>
        <w:tc>
          <w:tcPr>
            <w:tcW w:w="991" w:type="dxa"/>
          </w:tcPr>
          <w:p>
            <w:pPr>
              <w:pStyle w:val="TableParagraph"/>
              <w:spacing w:before="118"/>
              <w:ind w:left="10"/>
              <w:jc w:val="center"/>
              <w:rPr>
                <w:sz w:val="20"/>
              </w:rPr>
            </w:pPr>
            <w:r>
              <w:rPr>
                <w:spacing w:val="-10"/>
                <w:sz w:val="20"/>
              </w:rPr>
              <w:t>5</w:t>
            </w:r>
          </w:p>
        </w:tc>
        <w:tc>
          <w:tcPr>
            <w:tcW w:w="1981" w:type="dxa"/>
          </w:tcPr>
          <w:p>
            <w:pPr>
              <w:pStyle w:val="TableParagraph"/>
              <w:spacing w:before="118"/>
              <w:ind w:left="4" w:right="5"/>
              <w:jc w:val="center"/>
              <w:rPr>
                <w:sz w:val="20"/>
              </w:rPr>
            </w:pPr>
            <w:r>
              <w:rPr>
                <w:sz w:val="20"/>
              </w:rPr>
              <w:t>Hampir</w:t>
            </w:r>
            <w:r>
              <w:rPr>
                <w:spacing w:val="-5"/>
                <w:sz w:val="20"/>
              </w:rPr>
              <w:t> </w:t>
            </w:r>
            <w:r>
              <w:rPr>
                <w:spacing w:val="-2"/>
                <w:sz w:val="20"/>
              </w:rPr>
              <w:t>Sering</w:t>
            </w:r>
          </w:p>
        </w:tc>
        <w:tc>
          <w:tcPr>
            <w:tcW w:w="6098" w:type="dxa"/>
          </w:tcPr>
          <w:p>
            <w:pPr>
              <w:pStyle w:val="TableParagraph"/>
              <w:spacing w:before="118"/>
              <w:ind w:left="7" w:right="8"/>
              <w:jc w:val="center"/>
              <w:rPr>
                <w:sz w:val="20"/>
              </w:rPr>
            </w:pPr>
            <w:r>
              <w:rPr>
                <w:sz w:val="20"/>
              </w:rPr>
              <w:t>Minimal</w:t>
            </w:r>
            <w:r>
              <w:rPr>
                <w:spacing w:val="-2"/>
                <w:sz w:val="20"/>
              </w:rPr>
              <w:t> </w:t>
            </w:r>
            <w:r>
              <w:rPr>
                <w:sz w:val="20"/>
              </w:rPr>
              <w:t>1 kejadian dalam</w:t>
            </w:r>
            <w:r>
              <w:rPr>
                <w:spacing w:val="-1"/>
                <w:sz w:val="20"/>
              </w:rPr>
              <w:t> </w:t>
            </w:r>
            <w:r>
              <w:rPr>
                <w:sz w:val="20"/>
              </w:rPr>
              <w:t>satu</w:t>
            </w:r>
            <w:r>
              <w:rPr>
                <w:spacing w:val="-1"/>
                <w:sz w:val="20"/>
              </w:rPr>
              <w:t> </w:t>
            </w:r>
            <w:r>
              <w:rPr>
                <w:sz w:val="20"/>
              </w:rPr>
              <w:t>tahun </w:t>
            </w:r>
            <w:r>
              <w:rPr>
                <w:spacing w:val="-2"/>
                <w:sz w:val="20"/>
              </w:rPr>
              <w:t>terakhir</w:t>
            </w:r>
          </w:p>
        </w:tc>
      </w:tr>
    </w:tbl>
    <w:p>
      <w:pPr>
        <w:pStyle w:val="TableParagraph"/>
        <w:spacing w:after="0"/>
        <w:jc w:val="center"/>
        <w:rPr>
          <w:sz w:val="20"/>
        </w:rPr>
        <w:sectPr>
          <w:pgSz w:w="11910" w:h="16840"/>
          <w:pgMar w:header="960" w:footer="0" w:top="1820" w:bottom="280" w:left="1559" w:right="992"/>
        </w:sectPr>
      </w:pPr>
    </w:p>
    <w:p>
      <w:pPr>
        <w:pStyle w:val="BodyText"/>
        <w:spacing w:before="81"/>
      </w:pPr>
      <w:r>
        <w:rPr/>
        <w:t>Sumber</w:t>
      </w:r>
      <w:r>
        <w:rPr>
          <w:spacing w:val="-3"/>
        </w:rPr>
        <w:t> </w:t>
      </w:r>
      <w:r>
        <w:rPr/>
        <w:t>:</w:t>
      </w:r>
      <w:r>
        <w:rPr>
          <w:spacing w:val="-2"/>
        </w:rPr>
        <w:t> </w:t>
      </w:r>
      <w:r>
        <w:rPr/>
        <w:t>(Dokumen</w:t>
      </w:r>
      <w:r>
        <w:rPr>
          <w:spacing w:val="-1"/>
        </w:rPr>
        <w:t> </w:t>
      </w:r>
      <w:r>
        <w:rPr/>
        <w:t>Perusahaan,</w:t>
      </w:r>
      <w:r>
        <w:rPr>
          <w:spacing w:val="-1"/>
        </w:rPr>
        <w:t> </w:t>
      </w:r>
      <w:r>
        <w:rPr>
          <w:spacing w:val="-2"/>
        </w:rPr>
        <w:t>2026)</w:t>
      </w:r>
    </w:p>
    <w:p>
      <w:pPr>
        <w:pStyle w:val="BodyText"/>
        <w:ind w:left="0"/>
      </w:pPr>
    </w:p>
    <w:p>
      <w:pPr>
        <w:pStyle w:val="BodyText"/>
        <w:spacing w:before="130"/>
        <w:ind w:left="0"/>
      </w:pPr>
    </w:p>
    <w:p>
      <w:pPr>
        <w:spacing w:before="1" w:after="27"/>
        <w:ind w:left="141" w:right="0" w:firstLine="0"/>
        <w:jc w:val="left"/>
        <w:rPr>
          <w:i/>
          <w:sz w:val="20"/>
        </w:rPr>
      </w:pPr>
      <w:r>
        <w:rPr>
          <w:b/>
          <w:sz w:val="20"/>
        </w:rPr>
        <w:t>Tabel</w:t>
      </w:r>
      <w:r>
        <w:rPr>
          <w:b/>
          <w:spacing w:val="-1"/>
          <w:sz w:val="20"/>
        </w:rPr>
        <w:t> </w:t>
      </w:r>
      <w:r>
        <w:rPr>
          <w:b/>
          <w:sz w:val="20"/>
        </w:rPr>
        <w:t>3. </w:t>
      </w:r>
      <w:r>
        <w:rPr>
          <w:i/>
          <w:sz w:val="20"/>
        </w:rPr>
        <w:t>Severity</w:t>
      </w:r>
      <w:r>
        <w:rPr>
          <w:i/>
          <w:spacing w:val="2"/>
          <w:sz w:val="20"/>
        </w:rPr>
        <w:t> </w:t>
      </w:r>
      <w:r>
        <w:rPr>
          <w:i/>
          <w:spacing w:val="-2"/>
          <w:sz w:val="20"/>
        </w:rPr>
        <w:t>Matrix</w:t>
      </w: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0"/>
        <w:gridCol w:w="1440"/>
        <w:gridCol w:w="1635"/>
        <w:gridCol w:w="3200"/>
        <w:gridCol w:w="1979"/>
      </w:tblGrid>
      <w:tr>
        <w:trPr>
          <w:trHeight w:val="460" w:hRule="atLeast"/>
        </w:trPr>
        <w:tc>
          <w:tcPr>
            <w:tcW w:w="810" w:type="dxa"/>
          </w:tcPr>
          <w:p>
            <w:pPr>
              <w:pStyle w:val="TableParagraph"/>
              <w:spacing w:line="212" w:lineRule="exact" w:before="228"/>
              <w:ind w:left="11" w:right="6"/>
              <w:jc w:val="center"/>
              <w:rPr>
                <w:b/>
                <w:sz w:val="20"/>
              </w:rPr>
            </w:pPr>
            <w:r>
              <w:rPr>
                <w:b/>
                <w:spacing w:val="-2"/>
                <w:sz w:val="20"/>
              </w:rPr>
              <w:t>Rating</w:t>
            </w:r>
          </w:p>
        </w:tc>
        <w:tc>
          <w:tcPr>
            <w:tcW w:w="1440" w:type="dxa"/>
          </w:tcPr>
          <w:p>
            <w:pPr>
              <w:pStyle w:val="TableParagraph"/>
              <w:spacing w:before="113"/>
              <w:ind w:left="7" w:right="4"/>
              <w:jc w:val="center"/>
              <w:rPr>
                <w:b/>
                <w:sz w:val="20"/>
              </w:rPr>
            </w:pPr>
            <w:r>
              <w:rPr>
                <w:b/>
                <w:spacing w:val="-2"/>
                <w:sz w:val="20"/>
              </w:rPr>
              <w:t>Deskriptor</w:t>
            </w:r>
          </w:p>
        </w:tc>
        <w:tc>
          <w:tcPr>
            <w:tcW w:w="1635" w:type="dxa"/>
          </w:tcPr>
          <w:p>
            <w:pPr>
              <w:pStyle w:val="TableParagraph"/>
              <w:spacing w:line="230" w:lineRule="exact"/>
              <w:ind w:left="266" w:right="240" w:hanging="5"/>
              <w:rPr>
                <w:b/>
                <w:sz w:val="20"/>
              </w:rPr>
            </w:pPr>
            <w:r>
              <w:rPr>
                <w:b/>
                <w:sz w:val="20"/>
              </w:rPr>
              <w:t>Kesehatan</w:t>
            </w:r>
            <w:r>
              <w:rPr>
                <w:b/>
                <w:spacing w:val="-13"/>
                <w:sz w:val="20"/>
              </w:rPr>
              <w:t> </w:t>
            </w:r>
            <w:r>
              <w:rPr>
                <w:b/>
                <w:sz w:val="20"/>
              </w:rPr>
              <w:t>&amp; </w:t>
            </w:r>
            <w:r>
              <w:rPr>
                <w:b/>
                <w:spacing w:val="-2"/>
                <w:sz w:val="20"/>
              </w:rPr>
              <w:t>Keselamatan</w:t>
            </w:r>
          </w:p>
        </w:tc>
        <w:tc>
          <w:tcPr>
            <w:tcW w:w="3200" w:type="dxa"/>
          </w:tcPr>
          <w:p>
            <w:pPr>
              <w:pStyle w:val="TableParagraph"/>
              <w:spacing w:before="113"/>
              <w:ind w:left="74" w:right="69"/>
              <w:jc w:val="center"/>
              <w:rPr>
                <w:b/>
                <w:sz w:val="20"/>
              </w:rPr>
            </w:pPr>
            <w:r>
              <w:rPr>
                <w:b/>
                <w:spacing w:val="-2"/>
                <w:sz w:val="20"/>
              </w:rPr>
              <w:t>Lingkungan</w:t>
            </w:r>
          </w:p>
        </w:tc>
        <w:tc>
          <w:tcPr>
            <w:tcW w:w="1979" w:type="dxa"/>
          </w:tcPr>
          <w:p>
            <w:pPr>
              <w:pStyle w:val="TableParagraph"/>
              <w:spacing w:before="113"/>
              <w:ind w:left="293"/>
              <w:rPr>
                <w:b/>
                <w:sz w:val="20"/>
              </w:rPr>
            </w:pPr>
            <w:r>
              <w:rPr>
                <w:b/>
                <w:sz w:val="20"/>
              </w:rPr>
              <w:t>Pencapaian</w:t>
            </w:r>
            <w:r>
              <w:rPr>
                <w:b/>
                <w:spacing w:val="-10"/>
                <w:sz w:val="20"/>
              </w:rPr>
              <w:t> </w:t>
            </w:r>
            <w:r>
              <w:rPr>
                <w:b/>
                <w:spacing w:val="-5"/>
                <w:sz w:val="20"/>
              </w:rPr>
              <w:t>KPI</w:t>
            </w:r>
          </w:p>
        </w:tc>
      </w:tr>
      <w:tr>
        <w:trPr>
          <w:trHeight w:val="1145" w:hRule="atLeast"/>
        </w:trPr>
        <w:tc>
          <w:tcPr>
            <w:tcW w:w="810" w:type="dxa"/>
          </w:tcPr>
          <w:p>
            <w:pPr>
              <w:pStyle w:val="TableParagraph"/>
              <w:spacing w:before="223"/>
              <w:rPr>
                <w:i/>
                <w:sz w:val="20"/>
              </w:rPr>
            </w:pPr>
          </w:p>
          <w:p>
            <w:pPr>
              <w:pStyle w:val="TableParagraph"/>
              <w:ind w:left="11"/>
              <w:jc w:val="center"/>
              <w:rPr>
                <w:sz w:val="20"/>
              </w:rPr>
            </w:pPr>
            <w:r>
              <w:rPr>
                <w:spacing w:val="-10"/>
                <w:sz w:val="20"/>
              </w:rPr>
              <w:t>1</w:t>
            </w:r>
          </w:p>
        </w:tc>
        <w:tc>
          <w:tcPr>
            <w:tcW w:w="1440" w:type="dxa"/>
          </w:tcPr>
          <w:p>
            <w:pPr>
              <w:pStyle w:val="TableParagraph"/>
              <w:spacing w:before="223"/>
              <w:rPr>
                <w:i/>
                <w:sz w:val="20"/>
              </w:rPr>
            </w:pPr>
          </w:p>
          <w:p>
            <w:pPr>
              <w:pStyle w:val="TableParagraph"/>
              <w:ind w:left="7" w:right="7"/>
              <w:jc w:val="center"/>
              <w:rPr>
                <w:sz w:val="20"/>
              </w:rPr>
            </w:pPr>
            <w:r>
              <w:rPr>
                <w:sz w:val="20"/>
              </w:rPr>
              <w:t>Sangat</w:t>
            </w:r>
            <w:r>
              <w:rPr>
                <w:spacing w:val="-1"/>
                <w:sz w:val="20"/>
              </w:rPr>
              <w:t> </w:t>
            </w:r>
            <w:r>
              <w:rPr>
                <w:spacing w:val="-2"/>
                <w:sz w:val="20"/>
              </w:rPr>
              <w:t>rendah</w:t>
            </w:r>
          </w:p>
        </w:tc>
        <w:tc>
          <w:tcPr>
            <w:tcW w:w="1635" w:type="dxa"/>
          </w:tcPr>
          <w:p>
            <w:pPr>
              <w:pStyle w:val="TableParagraph"/>
              <w:spacing w:before="117"/>
              <w:rPr>
                <w:i/>
                <w:sz w:val="20"/>
              </w:rPr>
            </w:pPr>
          </w:p>
          <w:p>
            <w:pPr>
              <w:pStyle w:val="TableParagraph"/>
              <w:spacing w:line="235" w:lineRule="auto"/>
              <w:ind w:left="411" w:hanging="301"/>
              <w:rPr>
                <w:sz w:val="20"/>
              </w:rPr>
            </w:pPr>
            <w:r>
              <w:rPr>
                <w:sz w:val="20"/>
              </w:rPr>
              <w:t>Meninggal</w:t>
            </w:r>
            <w:r>
              <w:rPr>
                <w:spacing w:val="-13"/>
                <w:sz w:val="20"/>
              </w:rPr>
              <w:t> </w:t>
            </w:r>
            <w:r>
              <w:rPr>
                <w:sz w:val="20"/>
              </w:rPr>
              <w:t>dunia, cacat total</w:t>
            </w:r>
          </w:p>
        </w:tc>
        <w:tc>
          <w:tcPr>
            <w:tcW w:w="3200" w:type="dxa"/>
          </w:tcPr>
          <w:p>
            <w:pPr>
              <w:pStyle w:val="TableParagraph"/>
              <w:rPr>
                <w:i/>
                <w:sz w:val="20"/>
              </w:rPr>
            </w:pPr>
          </w:p>
          <w:p>
            <w:pPr>
              <w:pStyle w:val="TableParagraph"/>
              <w:spacing w:line="237" w:lineRule="auto"/>
              <w:ind w:left="257" w:right="247" w:hanging="7"/>
              <w:jc w:val="center"/>
              <w:rPr>
                <w:sz w:val="20"/>
              </w:rPr>
            </w:pPr>
            <w:r>
              <w:rPr>
                <w:sz w:val="20"/>
              </w:rPr>
              <w:t>Dampak sangat serius terhadap lingkungan</w:t>
            </w:r>
            <w:r>
              <w:rPr>
                <w:spacing w:val="-13"/>
                <w:sz w:val="20"/>
              </w:rPr>
              <w:t> </w:t>
            </w:r>
            <w:r>
              <w:rPr>
                <w:sz w:val="20"/>
              </w:rPr>
              <w:t>alam</w:t>
            </w:r>
            <w:r>
              <w:rPr>
                <w:spacing w:val="-12"/>
                <w:sz w:val="20"/>
              </w:rPr>
              <w:t> </w:t>
            </w:r>
            <w:r>
              <w:rPr>
                <w:sz w:val="20"/>
              </w:rPr>
              <w:t>atau</w:t>
            </w:r>
            <w:r>
              <w:rPr>
                <w:spacing w:val="-12"/>
                <w:sz w:val="20"/>
              </w:rPr>
              <w:t> </w:t>
            </w:r>
            <w:r>
              <w:rPr>
                <w:sz w:val="20"/>
              </w:rPr>
              <w:t>masyarakat luas jauh dari kawasan pabrik</w:t>
            </w:r>
          </w:p>
        </w:tc>
        <w:tc>
          <w:tcPr>
            <w:tcW w:w="1979" w:type="dxa"/>
          </w:tcPr>
          <w:p>
            <w:pPr>
              <w:pStyle w:val="TableParagraph"/>
              <w:spacing w:line="237" w:lineRule="auto"/>
              <w:ind w:left="153" w:right="136"/>
              <w:jc w:val="center"/>
              <w:rPr>
                <w:sz w:val="20"/>
              </w:rPr>
            </w:pPr>
            <w:r>
              <w:rPr>
                <w:sz w:val="20"/>
              </w:rPr>
              <w:t>Pencapaian</w:t>
            </w:r>
            <w:r>
              <w:rPr>
                <w:spacing w:val="-13"/>
                <w:sz w:val="20"/>
              </w:rPr>
              <w:t> </w:t>
            </w:r>
            <w:r>
              <w:rPr>
                <w:sz w:val="20"/>
              </w:rPr>
              <w:t>KPI</w:t>
            </w:r>
            <w:r>
              <w:rPr>
                <w:spacing w:val="-12"/>
                <w:sz w:val="20"/>
              </w:rPr>
              <w:t> </w:t>
            </w:r>
            <w:r>
              <w:rPr>
                <w:sz w:val="20"/>
              </w:rPr>
              <w:t>&lt; 95% dan </w:t>
            </w:r>
            <w:r>
              <w:rPr>
                <w:spacing w:val="-2"/>
                <w:sz w:val="20"/>
              </w:rPr>
              <w:t>menghambat </w:t>
            </w:r>
            <w:r>
              <w:rPr>
                <w:sz w:val="20"/>
              </w:rPr>
              <w:t>pencapaian KPI</w:t>
            </w:r>
          </w:p>
          <w:p>
            <w:pPr>
              <w:pStyle w:val="TableParagraph"/>
              <w:spacing w:line="212" w:lineRule="exact" w:before="3"/>
              <w:ind w:left="154" w:right="136"/>
              <w:jc w:val="center"/>
              <w:rPr>
                <w:sz w:val="20"/>
              </w:rPr>
            </w:pPr>
            <w:r>
              <w:rPr>
                <w:sz w:val="20"/>
              </w:rPr>
              <w:t>fungsi</w:t>
            </w:r>
            <w:r>
              <w:rPr>
                <w:spacing w:val="-5"/>
                <w:sz w:val="20"/>
              </w:rPr>
              <w:t> </w:t>
            </w:r>
            <w:r>
              <w:rPr>
                <w:spacing w:val="-4"/>
                <w:sz w:val="20"/>
              </w:rPr>
              <w:t>lain</w:t>
            </w:r>
          </w:p>
        </w:tc>
      </w:tr>
      <w:tr>
        <w:trPr>
          <w:trHeight w:val="1150" w:hRule="atLeast"/>
        </w:trPr>
        <w:tc>
          <w:tcPr>
            <w:tcW w:w="810" w:type="dxa"/>
          </w:tcPr>
          <w:p>
            <w:pPr>
              <w:pStyle w:val="TableParagraph"/>
              <w:spacing w:before="228"/>
              <w:rPr>
                <w:i/>
                <w:sz w:val="20"/>
              </w:rPr>
            </w:pPr>
          </w:p>
          <w:p>
            <w:pPr>
              <w:pStyle w:val="TableParagraph"/>
              <w:ind w:left="11"/>
              <w:jc w:val="center"/>
              <w:rPr>
                <w:sz w:val="20"/>
              </w:rPr>
            </w:pPr>
            <w:r>
              <w:rPr>
                <w:spacing w:val="-10"/>
                <w:sz w:val="20"/>
              </w:rPr>
              <w:t>2</w:t>
            </w:r>
          </w:p>
        </w:tc>
        <w:tc>
          <w:tcPr>
            <w:tcW w:w="1440" w:type="dxa"/>
          </w:tcPr>
          <w:p>
            <w:pPr>
              <w:pStyle w:val="TableParagraph"/>
              <w:spacing w:before="228"/>
              <w:rPr>
                <w:i/>
                <w:sz w:val="20"/>
              </w:rPr>
            </w:pPr>
          </w:p>
          <w:p>
            <w:pPr>
              <w:pStyle w:val="TableParagraph"/>
              <w:ind w:left="7" w:right="1"/>
              <w:jc w:val="center"/>
              <w:rPr>
                <w:sz w:val="20"/>
              </w:rPr>
            </w:pPr>
            <w:r>
              <w:rPr>
                <w:spacing w:val="-2"/>
                <w:sz w:val="20"/>
              </w:rPr>
              <w:t>Rendah</w:t>
            </w:r>
          </w:p>
        </w:tc>
        <w:tc>
          <w:tcPr>
            <w:tcW w:w="1635" w:type="dxa"/>
          </w:tcPr>
          <w:p>
            <w:pPr>
              <w:pStyle w:val="TableParagraph"/>
              <w:spacing w:line="230" w:lineRule="exact"/>
              <w:ind w:left="133" w:right="115"/>
              <w:jc w:val="center"/>
              <w:rPr>
                <w:sz w:val="20"/>
              </w:rPr>
            </w:pPr>
            <w:r>
              <w:rPr>
                <w:sz w:val="20"/>
              </w:rPr>
              <w:t>Cacat pada bagian tubuh, </w:t>
            </w:r>
            <w:r>
              <w:rPr>
                <w:spacing w:val="-2"/>
                <w:sz w:val="20"/>
              </w:rPr>
              <w:t>luka/sakit permanen, </w:t>
            </w:r>
            <w:r>
              <w:rPr>
                <w:sz w:val="20"/>
              </w:rPr>
              <w:t>penyakit</w:t>
            </w:r>
            <w:r>
              <w:rPr>
                <w:spacing w:val="-13"/>
                <w:sz w:val="20"/>
              </w:rPr>
              <w:t> </w:t>
            </w:r>
            <w:r>
              <w:rPr>
                <w:sz w:val="20"/>
              </w:rPr>
              <w:t>kronis</w:t>
            </w:r>
          </w:p>
        </w:tc>
        <w:tc>
          <w:tcPr>
            <w:tcW w:w="3200" w:type="dxa"/>
          </w:tcPr>
          <w:p>
            <w:pPr>
              <w:pStyle w:val="TableParagraph"/>
              <w:spacing w:line="230" w:lineRule="exact"/>
              <w:ind w:left="132" w:right="126" w:hanging="1"/>
              <w:jc w:val="center"/>
              <w:rPr>
                <w:sz w:val="20"/>
              </w:rPr>
            </w:pPr>
            <w:r>
              <w:rPr>
                <w:sz w:val="20"/>
              </w:rPr>
              <w:t>Dampak serius terhadap lingkungan alam</w:t>
            </w:r>
            <w:r>
              <w:rPr>
                <w:spacing w:val="-7"/>
                <w:sz w:val="20"/>
              </w:rPr>
              <w:t> </w:t>
            </w:r>
            <w:r>
              <w:rPr>
                <w:sz w:val="20"/>
              </w:rPr>
              <w:t>atau</w:t>
            </w:r>
            <w:r>
              <w:rPr>
                <w:spacing w:val="-7"/>
                <w:sz w:val="20"/>
              </w:rPr>
              <w:t> </w:t>
            </w:r>
            <w:r>
              <w:rPr>
                <w:sz w:val="20"/>
              </w:rPr>
              <w:t>masyarakat</w:t>
            </w:r>
            <w:r>
              <w:rPr>
                <w:spacing w:val="-7"/>
                <w:sz w:val="20"/>
              </w:rPr>
              <w:t> </w:t>
            </w:r>
            <w:r>
              <w:rPr>
                <w:sz w:val="20"/>
              </w:rPr>
              <w:t>luar</w:t>
            </w:r>
            <w:r>
              <w:rPr>
                <w:spacing w:val="-8"/>
                <w:sz w:val="20"/>
              </w:rPr>
              <w:t> </w:t>
            </w:r>
            <w:r>
              <w:rPr>
                <w:sz w:val="20"/>
              </w:rPr>
              <w:t>di</w:t>
            </w:r>
            <w:r>
              <w:rPr>
                <w:spacing w:val="-7"/>
                <w:sz w:val="20"/>
              </w:rPr>
              <w:t> </w:t>
            </w:r>
            <w:r>
              <w:rPr>
                <w:sz w:val="20"/>
              </w:rPr>
              <w:t>seputar kawasan perusahaan serta memerlukan waktu pemulihan jangka panjang &gt; 5 tahun</w:t>
            </w:r>
          </w:p>
        </w:tc>
        <w:tc>
          <w:tcPr>
            <w:tcW w:w="1979" w:type="dxa"/>
          </w:tcPr>
          <w:p>
            <w:pPr>
              <w:pStyle w:val="TableParagraph"/>
              <w:spacing w:before="113"/>
              <w:rPr>
                <w:i/>
                <w:sz w:val="20"/>
              </w:rPr>
            </w:pPr>
          </w:p>
          <w:p>
            <w:pPr>
              <w:pStyle w:val="TableParagraph"/>
              <w:ind w:left="808" w:hanging="540"/>
              <w:rPr>
                <w:sz w:val="20"/>
              </w:rPr>
            </w:pPr>
            <w:r>
              <w:rPr>
                <w:sz w:val="20"/>
              </w:rPr>
              <w:t>Pencapaian</w:t>
            </w:r>
            <w:r>
              <w:rPr>
                <w:spacing w:val="-13"/>
                <w:sz w:val="20"/>
              </w:rPr>
              <w:t> </w:t>
            </w:r>
            <w:r>
              <w:rPr>
                <w:sz w:val="20"/>
              </w:rPr>
              <w:t>KPI</w:t>
            </w:r>
            <w:r>
              <w:rPr>
                <w:spacing w:val="-12"/>
                <w:sz w:val="20"/>
              </w:rPr>
              <w:t> </w:t>
            </w:r>
            <w:r>
              <w:rPr>
                <w:sz w:val="20"/>
              </w:rPr>
              <w:t>&lt; </w:t>
            </w:r>
            <w:r>
              <w:rPr>
                <w:spacing w:val="-4"/>
                <w:sz w:val="20"/>
              </w:rPr>
              <w:t>95%</w:t>
            </w:r>
          </w:p>
        </w:tc>
      </w:tr>
      <w:tr>
        <w:trPr>
          <w:trHeight w:val="1150" w:hRule="atLeast"/>
        </w:trPr>
        <w:tc>
          <w:tcPr>
            <w:tcW w:w="810" w:type="dxa"/>
          </w:tcPr>
          <w:p>
            <w:pPr>
              <w:pStyle w:val="TableParagraph"/>
              <w:spacing w:before="228"/>
              <w:rPr>
                <w:i/>
                <w:sz w:val="20"/>
              </w:rPr>
            </w:pPr>
          </w:p>
          <w:p>
            <w:pPr>
              <w:pStyle w:val="TableParagraph"/>
              <w:ind w:left="11"/>
              <w:jc w:val="center"/>
              <w:rPr>
                <w:sz w:val="20"/>
              </w:rPr>
            </w:pPr>
            <w:r>
              <w:rPr>
                <w:spacing w:val="-10"/>
                <w:sz w:val="20"/>
              </w:rPr>
              <w:t>3</w:t>
            </w:r>
          </w:p>
        </w:tc>
        <w:tc>
          <w:tcPr>
            <w:tcW w:w="1440" w:type="dxa"/>
          </w:tcPr>
          <w:p>
            <w:pPr>
              <w:pStyle w:val="TableParagraph"/>
              <w:spacing w:before="228"/>
              <w:rPr>
                <w:i/>
                <w:sz w:val="20"/>
              </w:rPr>
            </w:pPr>
          </w:p>
          <w:p>
            <w:pPr>
              <w:pStyle w:val="TableParagraph"/>
              <w:ind w:left="7" w:right="6"/>
              <w:jc w:val="center"/>
              <w:rPr>
                <w:sz w:val="20"/>
              </w:rPr>
            </w:pPr>
            <w:r>
              <w:rPr>
                <w:spacing w:val="-2"/>
                <w:sz w:val="20"/>
              </w:rPr>
              <w:t>Moderat</w:t>
            </w:r>
          </w:p>
        </w:tc>
        <w:tc>
          <w:tcPr>
            <w:tcW w:w="1635" w:type="dxa"/>
          </w:tcPr>
          <w:p>
            <w:pPr>
              <w:pStyle w:val="TableParagraph"/>
              <w:spacing w:line="230" w:lineRule="exact"/>
              <w:ind w:left="141" w:right="129" w:firstLine="2"/>
              <w:jc w:val="center"/>
              <w:rPr>
                <w:sz w:val="20"/>
              </w:rPr>
            </w:pPr>
            <w:r>
              <w:rPr>
                <w:sz w:val="20"/>
              </w:rPr>
              <w:t>Luka/sakit yang </w:t>
            </w:r>
            <w:r>
              <w:rPr>
                <w:spacing w:val="-2"/>
                <w:sz w:val="20"/>
              </w:rPr>
              <w:t>dapat disembuhkan, </w:t>
            </w:r>
            <w:r>
              <w:rPr>
                <w:sz w:val="20"/>
              </w:rPr>
              <w:t>perawatan</w:t>
            </w:r>
            <w:r>
              <w:rPr>
                <w:spacing w:val="-13"/>
                <w:sz w:val="20"/>
              </w:rPr>
              <w:t> </w:t>
            </w:r>
            <w:r>
              <w:rPr>
                <w:sz w:val="20"/>
              </w:rPr>
              <w:t>medis secara intensif</w:t>
            </w:r>
          </w:p>
        </w:tc>
        <w:tc>
          <w:tcPr>
            <w:tcW w:w="3200" w:type="dxa"/>
          </w:tcPr>
          <w:p>
            <w:pPr>
              <w:pStyle w:val="TableParagraph"/>
              <w:spacing w:before="113"/>
              <w:ind w:left="74" w:right="64"/>
              <w:jc w:val="center"/>
              <w:rPr>
                <w:sz w:val="20"/>
              </w:rPr>
            </w:pPr>
            <w:r>
              <w:rPr>
                <w:sz w:val="20"/>
              </w:rPr>
              <w:t>Dampak</w:t>
            </w:r>
            <w:r>
              <w:rPr>
                <w:spacing w:val="-12"/>
                <w:sz w:val="20"/>
              </w:rPr>
              <w:t> </w:t>
            </w:r>
            <w:r>
              <w:rPr>
                <w:sz w:val="20"/>
              </w:rPr>
              <w:t>sedang</w:t>
            </w:r>
            <w:r>
              <w:rPr>
                <w:spacing w:val="-12"/>
                <w:sz w:val="20"/>
              </w:rPr>
              <w:t> </w:t>
            </w:r>
            <w:r>
              <w:rPr>
                <w:sz w:val="20"/>
              </w:rPr>
              <w:t>terhadap</w:t>
            </w:r>
            <w:r>
              <w:rPr>
                <w:spacing w:val="-12"/>
                <w:sz w:val="20"/>
              </w:rPr>
              <w:t> </w:t>
            </w:r>
            <w:r>
              <w:rPr>
                <w:sz w:val="20"/>
              </w:rPr>
              <w:t>lingkungan di dalam kawasan perusahaan serta mmerlukan waktu pemulihan jangka menengan &lt; 5 tahun</w:t>
            </w:r>
          </w:p>
        </w:tc>
        <w:tc>
          <w:tcPr>
            <w:tcW w:w="1979" w:type="dxa"/>
          </w:tcPr>
          <w:p>
            <w:pPr>
              <w:pStyle w:val="TableParagraph"/>
              <w:ind w:left="153" w:right="139"/>
              <w:jc w:val="center"/>
              <w:rPr>
                <w:sz w:val="20"/>
              </w:rPr>
            </w:pPr>
            <w:r>
              <w:rPr>
                <w:sz w:val="20"/>
              </w:rPr>
              <w:t>&lt;</w:t>
            </w:r>
            <w:r>
              <w:rPr>
                <w:spacing w:val="-13"/>
                <w:sz w:val="20"/>
              </w:rPr>
              <w:t> </w:t>
            </w:r>
            <w:r>
              <w:rPr>
                <w:sz w:val="20"/>
              </w:rPr>
              <w:t>95%</w:t>
            </w:r>
            <w:r>
              <w:rPr>
                <w:spacing w:val="-12"/>
                <w:sz w:val="20"/>
              </w:rPr>
              <w:t> </w:t>
            </w:r>
            <w:r>
              <w:rPr>
                <w:sz w:val="20"/>
              </w:rPr>
              <w:t>Pencapaian KPI &lt; 100% dan</w:t>
            </w:r>
          </w:p>
          <w:p>
            <w:pPr>
              <w:pStyle w:val="TableParagraph"/>
              <w:spacing w:line="230" w:lineRule="atLeast"/>
              <w:ind w:left="348" w:right="328" w:hanging="5"/>
              <w:jc w:val="center"/>
              <w:rPr>
                <w:sz w:val="20"/>
              </w:rPr>
            </w:pPr>
            <w:r>
              <w:rPr>
                <w:spacing w:val="-2"/>
                <w:sz w:val="20"/>
              </w:rPr>
              <w:t>menghambat </w:t>
            </w:r>
            <w:r>
              <w:rPr>
                <w:sz w:val="20"/>
              </w:rPr>
              <w:t>pencapaian</w:t>
            </w:r>
            <w:r>
              <w:rPr>
                <w:spacing w:val="-13"/>
                <w:sz w:val="20"/>
              </w:rPr>
              <w:t> </w:t>
            </w:r>
            <w:r>
              <w:rPr>
                <w:sz w:val="20"/>
              </w:rPr>
              <w:t>KPI fungsi</w:t>
            </w:r>
            <w:r>
              <w:rPr>
                <w:spacing w:val="-5"/>
                <w:sz w:val="20"/>
              </w:rPr>
              <w:t> </w:t>
            </w:r>
            <w:r>
              <w:rPr>
                <w:sz w:val="20"/>
              </w:rPr>
              <w:t>yang</w:t>
            </w:r>
            <w:r>
              <w:rPr>
                <w:spacing w:val="-1"/>
                <w:sz w:val="20"/>
              </w:rPr>
              <w:t> </w:t>
            </w:r>
            <w:r>
              <w:rPr>
                <w:spacing w:val="-4"/>
                <w:sz w:val="20"/>
              </w:rPr>
              <w:t>lain</w:t>
            </w:r>
          </w:p>
        </w:tc>
      </w:tr>
      <w:tr>
        <w:trPr>
          <w:trHeight w:val="1150" w:hRule="atLeast"/>
        </w:trPr>
        <w:tc>
          <w:tcPr>
            <w:tcW w:w="810" w:type="dxa"/>
          </w:tcPr>
          <w:p>
            <w:pPr>
              <w:pStyle w:val="TableParagraph"/>
              <w:spacing w:before="228"/>
              <w:rPr>
                <w:i/>
                <w:sz w:val="20"/>
              </w:rPr>
            </w:pPr>
          </w:p>
          <w:p>
            <w:pPr>
              <w:pStyle w:val="TableParagraph"/>
              <w:ind w:left="11"/>
              <w:jc w:val="center"/>
              <w:rPr>
                <w:sz w:val="20"/>
              </w:rPr>
            </w:pPr>
            <w:r>
              <w:rPr>
                <w:spacing w:val="-10"/>
                <w:sz w:val="20"/>
              </w:rPr>
              <w:t>4</w:t>
            </w:r>
          </w:p>
        </w:tc>
        <w:tc>
          <w:tcPr>
            <w:tcW w:w="1440" w:type="dxa"/>
          </w:tcPr>
          <w:p>
            <w:pPr>
              <w:pStyle w:val="TableParagraph"/>
              <w:spacing w:before="228"/>
              <w:rPr>
                <w:i/>
                <w:sz w:val="20"/>
              </w:rPr>
            </w:pPr>
          </w:p>
          <w:p>
            <w:pPr>
              <w:pStyle w:val="TableParagraph"/>
              <w:ind w:left="7"/>
              <w:jc w:val="center"/>
              <w:rPr>
                <w:sz w:val="20"/>
              </w:rPr>
            </w:pPr>
            <w:r>
              <w:rPr>
                <w:spacing w:val="-2"/>
                <w:sz w:val="20"/>
              </w:rPr>
              <w:t>Tinggi</w:t>
            </w:r>
          </w:p>
        </w:tc>
        <w:tc>
          <w:tcPr>
            <w:tcW w:w="1635" w:type="dxa"/>
          </w:tcPr>
          <w:p>
            <w:pPr>
              <w:pStyle w:val="TableParagraph"/>
              <w:ind w:left="276" w:right="256" w:hanging="2"/>
              <w:jc w:val="center"/>
              <w:rPr>
                <w:sz w:val="20"/>
              </w:rPr>
            </w:pPr>
            <w:r>
              <w:rPr>
                <w:sz w:val="20"/>
              </w:rPr>
              <w:t>Cacat pada bagian</w:t>
            </w:r>
            <w:r>
              <w:rPr>
                <w:spacing w:val="-13"/>
                <w:sz w:val="20"/>
              </w:rPr>
              <w:t> </w:t>
            </w:r>
            <w:r>
              <w:rPr>
                <w:sz w:val="20"/>
              </w:rPr>
              <w:t>tubuh, </w:t>
            </w:r>
            <w:r>
              <w:rPr>
                <w:spacing w:val="-2"/>
                <w:sz w:val="20"/>
              </w:rPr>
              <w:t>luka/sakit permanen,</w:t>
            </w:r>
          </w:p>
          <w:p>
            <w:pPr>
              <w:pStyle w:val="TableParagraph"/>
              <w:spacing w:line="212" w:lineRule="exact"/>
              <w:ind w:left="133" w:right="118"/>
              <w:jc w:val="center"/>
              <w:rPr>
                <w:sz w:val="20"/>
              </w:rPr>
            </w:pPr>
            <w:r>
              <w:rPr>
                <w:sz w:val="20"/>
              </w:rPr>
              <w:t>penyakit</w:t>
            </w:r>
            <w:r>
              <w:rPr>
                <w:spacing w:val="-2"/>
                <w:sz w:val="20"/>
              </w:rPr>
              <w:t> kronis</w:t>
            </w:r>
          </w:p>
        </w:tc>
        <w:tc>
          <w:tcPr>
            <w:tcW w:w="3200" w:type="dxa"/>
          </w:tcPr>
          <w:p>
            <w:pPr>
              <w:pStyle w:val="TableParagraph"/>
              <w:ind w:left="132" w:right="126" w:hanging="1"/>
              <w:jc w:val="center"/>
              <w:rPr>
                <w:sz w:val="20"/>
              </w:rPr>
            </w:pPr>
            <w:r>
              <w:rPr>
                <w:sz w:val="20"/>
              </w:rPr>
              <w:t>Dampak serius terhadap lingkungan alam</w:t>
            </w:r>
            <w:r>
              <w:rPr>
                <w:spacing w:val="-7"/>
                <w:sz w:val="20"/>
              </w:rPr>
              <w:t> </w:t>
            </w:r>
            <w:r>
              <w:rPr>
                <w:sz w:val="20"/>
              </w:rPr>
              <w:t>atau</w:t>
            </w:r>
            <w:r>
              <w:rPr>
                <w:spacing w:val="-7"/>
                <w:sz w:val="20"/>
              </w:rPr>
              <w:t> </w:t>
            </w:r>
            <w:r>
              <w:rPr>
                <w:sz w:val="20"/>
              </w:rPr>
              <w:t>masyarakat</w:t>
            </w:r>
            <w:r>
              <w:rPr>
                <w:spacing w:val="-7"/>
                <w:sz w:val="20"/>
              </w:rPr>
              <w:t> </w:t>
            </w:r>
            <w:r>
              <w:rPr>
                <w:sz w:val="20"/>
              </w:rPr>
              <w:t>luar</w:t>
            </w:r>
            <w:r>
              <w:rPr>
                <w:spacing w:val="-8"/>
                <w:sz w:val="20"/>
              </w:rPr>
              <w:t> </w:t>
            </w:r>
            <w:r>
              <w:rPr>
                <w:sz w:val="20"/>
              </w:rPr>
              <w:t>di</w:t>
            </w:r>
            <w:r>
              <w:rPr>
                <w:spacing w:val="-7"/>
                <w:sz w:val="20"/>
              </w:rPr>
              <w:t> </w:t>
            </w:r>
            <w:r>
              <w:rPr>
                <w:sz w:val="20"/>
              </w:rPr>
              <w:t>seputar kawasan perusahaan serta memerlukan waktu pemulihan</w:t>
            </w:r>
          </w:p>
          <w:p>
            <w:pPr>
              <w:pStyle w:val="TableParagraph"/>
              <w:spacing w:line="212" w:lineRule="exact"/>
              <w:ind w:left="77" w:right="64"/>
              <w:jc w:val="center"/>
              <w:rPr>
                <w:sz w:val="20"/>
              </w:rPr>
            </w:pPr>
            <w:r>
              <w:rPr>
                <w:sz w:val="20"/>
              </w:rPr>
              <w:t>jangka</w:t>
            </w:r>
            <w:r>
              <w:rPr>
                <w:spacing w:val="1"/>
                <w:sz w:val="20"/>
              </w:rPr>
              <w:t> </w:t>
            </w:r>
            <w:r>
              <w:rPr>
                <w:sz w:val="20"/>
              </w:rPr>
              <w:t>panjang &gt;</w:t>
            </w:r>
            <w:r>
              <w:rPr>
                <w:spacing w:val="2"/>
                <w:sz w:val="20"/>
              </w:rPr>
              <w:t> </w:t>
            </w:r>
            <w:r>
              <w:rPr>
                <w:sz w:val="20"/>
              </w:rPr>
              <w:t>5</w:t>
            </w:r>
            <w:r>
              <w:rPr>
                <w:spacing w:val="1"/>
                <w:sz w:val="20"/>
              </w:rPr>
              <w:t> </w:t>
            </w:r>
            <w:r>
              <w:rPr>
                <w:spacing w:val="-4"/>
                <w:sz w:val="20"/>
              </w:rPr>
              <w:t>tahun</w:t>
            </w:r>
          </w:p>
        </w:tc>
        <w:tc>
          <w:tcPr>
            <w:tcW w:w="1979" w:type="dxa"/>
          </w:tcPr>
          <w:p>
            <w:pPr>
              <w:pStyle w:val="TableParagraph"/>
              <w:spacing w:before="113"/>
              <w:rPr>
                <w:i/>
                <w:sz w:val="20"/>
              </w:rPr>
            </w:pPr>
          </w:p>
          <w:p>
            <w:pPr>
              <w:pStyle w:val="TableParagraph"/>
              <w:ind w:left="808" w:hanging="540"/>
              <w:rPr>
                <w:sz w:val="20"/>
              </w:rPr>
            </w:pPr>
            <w:r>
              <w:rPr>
                <w:sz w:val="20"/>
              </w:rPr>
              <w:t>Pencapaian</w:t>
            </w:r>
            <w:r>
              <w:rPr>
                <w:spacing w:val="-13"/>
                <w:sz w:val="20"/>
              </w:rPr>
              <w:t> </w:t>
            </w:r>
            <w:r>
              <w:rPr>
                <w:sz w:val="20"/>
              </w:rPr>
              <w:t>KPI</w:t>
            </w:r>
            <w:r>
              <w:rPr>
                <w:spacing w:val="-12"/>
                <w:sz w:val="20"/>
              </w:rPr>
              <w:t> </w:t>
            </w:r>
            <w:r>
              <w:rPr>
                <w:sz w:val="20"/>
              </w:rPr>
              <w:t>&lt; </w:t>
            </w:r>
            <w:r>
              <w:rPr>
                <w:spacing w:val="-4"/>
                <w:sz w:val="20"/>
              </w:rPr>
              <w:t>95%</w:t>
            </w:r>
          </w:p>
        </w:tc>
      </w:tr>
      <w:tr>
        <w:trPr>
          <w:trHeight w:val="1150" w:hRule="atLeast"/>
        </w:trPr>
        <w:tc>
          <w:tcPr>
            <w:tcW w:w="810" w:type="dxa"/>
          </w:tcPr>
          <w:p>
            <w:pPr>
              <w:pStyle w:val="TableParagraph"/>
              <w:spacing w:before="228"/>
              <w:rPr>
                <w:i/>
                <w:sz w:val="20"/>
              </w:rPr>
            </w:pPr>
          </w:p>
          <w:p>
            <w:pPr>
              <w:pStyle w:val="TableParagraph"/>
              <w:ind w:left="11"/>
              <w:jc w:val="center"/>
              <w:rPr>
                <w:sz w:val="20"/>
              </w:rPr>
            </w:pPr>
            <w:r>
              <w:rPr>
                <w:spacing w:val="-10"/>
                <w:sz w:val="20"/>
              </w:rPr>
              <w:t>5</w:t>
            </w:r>
          </w:p>
        </w:tc>
        <w:tc>
          <w:tcPr>
            <w:tcW w:w="1440" w:type="dxa"/>
          </w:tcPr>
          <w:p>
            <w:pPr>
              <w:pStyle w:val="TableParagraph"/>
              <w:spacing w:before="228"/>
              <w:rPr>
                <w:i/>
                <w:sz w:val="20"/>
              </w:rPr>
            </w:pPr>
          </w:p>
          <w:p>
            <w:pPr>
              <w:pStyle w:val="TableParagraph"/>
              <w:ind w:left="7" w:right="6"/>
              <w:jc w:val="center"/>
              <w:rPr>
                <w:sz w:val="20"/>
              </w:rPr>
            </w:pPr>
            <w:r>
              <w:rPr>
                <w:sz w:val="20"/>
              </w:rPr>
              <w:t>Sangat</w:t>
            </w:r>
            <w:r>
              <w:rPr>
                <w:spacing w:val="-3"/>
                <w:sz w:val="20"/>
              </w:rPr>
              <w:t> </w:t>
            </w:r>
            <w:r>
              <w:rPr>
                <w:spacing w:val="-2"/>
                <w:sz w:val="20"/>
              </w:rPr>
              <w:t>Tinggi</w:t>
            </w:r>
          </w:p>
        </w:tc>
        <w:tc>
          <w:tcPr>
            <w:tcW w:w="1635" w:type="dxa"/>
          </w:tcPr>
          <w:p>
            <w:pPr>
              <w:pStyle w:val="TableParagraph"/>
              <w:spacing w:before="113"/>
              <w:rPr>
                <w:i/>
                <w:sz w:val="20"/>
              </w:rPr>
            </w:pPr>
          </w:p>
          <w:p>
            <w:pPr>
              <w:pStyle w:val="TableParagraph"/>
              <w:ind w:left="411" w:hanging="301"/>
              <w:rPr>
                <w:sz w:val="20"/>
              </w:rPr>
            </w:pPr>
            <w:r>
              <w:rPr>
                <w:sz w:val="20"/>
              </w:rPr>
              <w:t>Meninggal</w:t>
            </w:r>
            <w:r>
              <w:rPr>
                <w:spacing w:val="-13"/>
                <w:sz w:val="20"/>
              </w:rPr>
              <w:t> </w:t>
            </w:r>
            <w:r>
              <w:rPr>
                <w:sz w:val="20"/>
              </w:rPr>
              <w:t>dunia, cacat total</w:t>
            </w:r>
          </w:p>
        </w:tc>
        <w:tc>
          <w:tcPr>
            <w:tcW w:w="3200" w:type="dxa"/>
          </w:tcPr>
          <w:p>
            <w:pPr>
              <w:pStyle w:val="TableParagraph"/>
              <w:spacing w:before="228"/>
              <w:ind w:left="257" w:right="247" w:hanging="7"/>
              <w:jc w:val="center"/>
              <w:rPr>
                <w:sz w:val="20"/>
              </w:rPr>
            </w:pPr>
            <w:r>
              <w:rPr>
                <w:sz w:val="20"/>
              </w:rPr>
              <w:t>Dampak sangat serius terhadap lingkungan</w:t>
            </w:r>
            <w:r>
              <w:rPr>
                <w:spacing w:val="-13"/>
                <w:sz w:val="20"/>
              </w:rPr>
              <w:t> </w:t>
            </w:r>
            <w:r>
              <w:rPr>
                <w:sz w:val="20"/>
              </w:rPr>
              <w:t>alam</w:t>
            </w:r>
            <w:r>
              <w:rPr>
                <w:spacing w:val="-12"/>
                <w:sz w:val="20"/>
              </w:rPr>
              <w:t> </w:t>
            </w:r>
            <w:r>
              <w:rPr>
                <w:sz w:val="20"/>
              </w:rPr>
              <w:t>atau</w:t>
            </w:r>
            <w:r>
              <w:rPr>
                <w:spacing w:val="-12"/>
                <w:sz w:val="20"/>
              </w:rPr>
              <w:t> </w:t>
            </w:r>
            <w:r>
              <w:rPr>
                <w:sz w:val="20"/>
              </w:rPr>
              <w:t>masyarakat luas jauh dari kawasan pabrik</w:t>
            </w:r>
          </w:p>
        </w:tc>
        <w:tc>
          <w:tcPr>
            <w:tcW w:w="1979" w:type="dxa"/>
          </w:tcPr>
          <w:p>
            <w:pPr>
              <w:pStyle w:val="TableParagraph"/>
              <w:spacing w:line="230" w:lineRule="exact"/>
              <w:ind w:left="153" w:right="136"/>
              <w:jc w:val="center"/>
              <w:rPr>
                <w:sz w:val="20"/>
              </w:rPr>
            </w:pPr>
            <w:r>
              <w:rPr>
                <w:sz w:val="20"/>
              </w:rPr>
              <w:t>Pencapaian</w:t>
            </w:r>
            <w:r>
              <w:rPr>
                <w:spacing w:val="-13"/>
                <w:sz w:val="20"/>
              </w:rPr>
              <w:t> </w:t>
            </w:r>
            <w:r>
              <w:rPr>
                <w:sz w:val="20"/>
              </w:rPr>
              <w:t>KPI</w:t>
            </w:r>
            <w:r>
              <w:rPr>
                <w:spacing w:val="-12"/>
                <w:sz w:val="20"/>
              </w:rPr>
              <w:t> </w:t>
            </w:r>
            <w:r>
              <w:rPr>
                <w:sz w:val="20"/>
              </w:rPr>
              <w:t>&lt; 95% dan </w:t>
            </w:r>
            <w:r>
              <w:rPr>
                <w:spacing w:val="-2"/>
                <w:sz w:val="20"/>
              </w:rPr>
              <w:t>menghambat </w:t>
            </w:r>
            <w:r>
              <w:rPr>
                <w:sz w:val="20"/>
              </w:rPr>
              <w:t>pencapaian KPI fungsi lain</w:t>
            </w:r>
          </w:p>
        </w:tc>
      </w:tr>
    </w:tbl>
    <w:p>
      <w:pPr>
        <w:pStyle w:val="BodyText"/>
        <w:spacing w:before="5"/>
      </w:pPr>
      <w:r>
        <w:rPr/>
        <w:t>Sumber</w:t>
      </w:r>
      <w:r>
        <w:rPr>
          <w:spacing w:val="-3"/>
        </w:rPr>
        <w:t> </w:t>
      </w:r>
      <w:r>
        <w:rPr/>
        <w:t>:</w:t>
      </w:r>
      <w:r>
        <w:rPr>
          <w:spacing w:val="-2"/>
        </w:rPr>
        <w:t> </w:t>
      </w:r>
      <w:r>
        <w:rPr/>
        <w:t>(Dokumen</w:t>
      </w:r>
      <w:r>
        <w:rPr>
          <w:spacing w:val="-1"/>
        </w:rPr>
        <w:t> </w:t>
      </w:r>
      <w:r>
        <w:rPr/>
        <w:t>Perusahaan,</w:t>
      </w:r>
      <w:r>
        <w:rPr>
          <w:spacing w:val="-1"/>
        </w:rPr>
        <w:t> </w:t>
      </w:r>
      <w:r>
        <w:rPr>
          <w:spacing w:val="-2"/>
        </w:rPr>
        <w:t>2026)</w:t>
      </w:r>
    </w:p>
    <w:p>
      <w:pPr>
        <w:spacing w:before="120" w:after="27"/>
        <w:ind w:left="141" w:right="0" w:firstLine="0"/>
        <w:jc w:val="left"/>
        <w:rPr>
          <w:sz w:val="20"/>
        </w:rPr>
      </w:pPr>
      <w:r>
        <w:rPr>
          <w:b/>
          <w:sz w:val="20"/>
        </w:rPr>
        <w:t>Tabel</w:t>
      </w:r>
      <w:r>
        <w:rPr>
          <w:b/>
          <w:spacing w:val="-1"/>
          <w:sz w:val="20"/>
        </w:rPr>
        <w:t> </w:t>
      </w:r>
      <w:r>
        <w:rPr>
          <w:b/>
          <w:sz w:val="20"/>
        </w:rPr>
        <w:t>4. </w:t>
      </w:r>
      <w:r>
        <w:rPr>
          <w:sz w:val="20"/>
        </w:rPr>
        <w:t>Metode</w:t>
      </w:r>
      <w:r>
        <w:rPr>
          <w:spacing w:val="1"/>
          <w:sz w:val="20"/>
        </w:rPr>
        <w:t> </w:t>
      </w:r>
      <w:r>
        <w:rPr>
          <w:spacing w:val="-2"/>
          <w:sz w:val="20"/>
        </w:rPr>
        <w:t>Kualitatif</w:t>
      </w: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5"/>
        <w:gridCol w:w="2176"/>
        <w:gridCol w:w="1331"/>
        <w:gridCol w:w="565"/>
        <w:gridCol w:w="555"/>
        <w:gridCol w:w="575"/>
        <w:gridCol w:w="1686"/>
        <w:gridCol w:w="565"/>
        <w:gridCol w:w="561"/>
        <w:gridCol w:w="565"/>
      </w:tblGrid>
      <w:tr>
        <w:trPr>
          <w:trHeight w:val="370" w:hRule="atLeast"/>
        </w:trPr>
        <w:tc>
          <w:tcPr>
            <w:tcW w:w="495" w:type="dxa"/>
            <w:vMerge w:val="restart"/>
          </w:tcPr>
          <w:p>
            <w:pPr>
              <w:pStyle w:val="TableParagraph"/>
              <w:spacing w:before="113"/>
              <w:ind w:left="12"/>
              <w:jc w:val="center"/>
              <w:rPr>
                <w:i/>
                <w:sz w:val="20"/>
              </w:rPr>
            </w:pPr>
            <w:r>
              <w:rPr>
                <w:i/>
                <w:spacing w:val="-5"/>
                <w:sz w:val="20"/>
              </w:rPr>
              <w:t>No</w:t>
            </w:r>
          </w:p>
          <w:p>
            <w:pPr>
              <w:pStyle w:val="TableParagraph"/>
              <w:ind w:left="12" w:right="6"/>
              <w:jc w:val="center"/>
              <w:rPr>
                <w:i/>
                <w:sz w:val="20"/>
              </w:rPr>
            </w:pPr>
            <w:r>
              <w:rPr>
                <w:i/>
                <w:spacing w:val="-10"/>
                <w:sz w:val="20"/>
              </w:rPr>
              <w:t>.</w:t>
            </w:r>
          </w:p>
        </w:tc>
        <w:tc>
          <w:tcPr>
            <w:tcW w:w="2176" w:type="dxa"/>
            <w:vMerge w:val="restart"/>
          </w:tcPr>
          <w:p>
            <w:pPr>
              <w:pStyle w:val="TableParagraph"/>
              <w:spacing w:before="118"/>
              <w:ind w:left="590"/>
              <w:rPr>
                <w:i/>
                <w:sz w:val="20"/>
              </w:rPr>
            </w:pPr>
            <w:r>
              <w:rPr>
                <w:i/>
                <w:sz w:val="20"/>
              </w:rPr>
              <w:t>Fire</w:t>
            </w:r>
            <w:r>
              <w:rPr>
                <w:i/>
                <w:spacing w:val="-2"/>
                <w:sz w:val="20"/>
              </w:rPr>
              <w:t> Hazard</w:t>
            </w:r>
          </w:p>
        </w:tc>
        <w:tc>
          <w:tcPr>
            <w:tcW w:w="1331" w:type="dxa"/>
            <w:vMerge w:val="restart"/>
          </w:tcPr>
          <w:p>
            <w:pPr>
              <w:pStyle w:val="TableParagraph"/>
              <w:spacing w:before="113"/>
              <w:ind w:left="240" w:right="130" w:hanging="100"/>
              <w:rPr>
                <w:i/>
                <w:sz w:val="20"/>
              </w:rPr>
            </w:pPr>
            <w:r>
              <w:rPr>
                <w:i/>
                <w:sz w:val="20"/>
              </w:rPr>
              <w:t>Existing</w:t>
            </w:r>
            <w:r>
              <w:rPr>
                <w:i/>
                <w:spacing w:val="-13"/>
                <w:sz w:val="20"/>
              </w:rPr>
              <w:t> </w:t>
            </w:r>
            <w:r>
              <w:rPr>
                <w:i/>
                <w:sz w:val="20"/>
              </w:rPr>
              <w:t>Fire </w:t>
            </w:r>
            <w:r>
              <w:rPr>
                <w:i/>
                <w:spacing w:val="-2"/>
                <w:sz w:val="20"/>
              </w:rPr>
              <w:t>Protection</w:t>
            </w:r>
          </w:p>
        </w:tc>
        <w:tc>
          <w:tcPr>
            <w:tcW w:w="1695" w:type="dxa"/>
            <w:gridSpan w:val="3"/>
          </w:tcPr>
          <w:p>
            <w:pPr>
              <w:pStyle w:val="TableParagraph"/>
              <w:spacing w:before="118"/>
              <w:ind w:left="110"/>
              <w:rPr>
                <w:i/>
                <w:sz w:val="20"/>
              </w:rPr>
            </w:pPr>
            <w:r>
              <w:rPr>
                <w:i/>
                <w:sz w:val="20"/>
              </w:rPr>
              <w:t>Inherent</w:t>
            </w:r>
            <w:r>
              <w:rPr>
                <w:i/>
                <w:spacing w:val="-2"/>
                <w:sz w:val="20"/>
              </w:rPr>
              <w:t> </w:t>
            </w:r>
            <w:r>
              <w:rPr>
                <w:i/>
                <w:sz w:val="20"/>
              </w:rPr>
              <w:t>Fire </w:t>
            </w:r>
            <w:r>
              <w:rPr>
                <w:i/>
                <w:spacing w:val="-4"/>
                <w:sz w:val="20"/>
              </w:rPr>
              <w:t>Risk</w:t>
            </w:r>
          </w:p>
        </w:tc>
        <w:tc>
          <w:tcPr>
            <w:tcW w:w="1686" w:type="dxa"/>
            <w:vMerge w:val="restart"/>
          </w:tcPr>
          <w:p>
            <w:pPr>
              <w:pStyle w:val="TableParagraph"/>
              <w:spacing w:before="113"/>
              <w:ind w:left="415" w:right="219" w:hanging="195"/>
              <w:rPr>
                <w:i/>
                <w:sz w:val="20"/>
              </w:rPr>
            </w:pPr>
            <w:r>
              <w:rPr>
                <w:i/>
                <w:sz w:val="20"/>
              </w:rPr>
              <w:t>Additional</w:t>
            </w:r>
            <w:r>
              <w:rPr>
                <w:i/>
                <w:spacing w:val="-13"/>
                <w:sz w:val="20"/>
              </w:rPr>
              <w:t> </w:t>
            </w:r>
            <w:r>
              <w:rPr>
                <w:i/>
                <w:sz w:val="20"/>
              </w:rPr>
              <w:t>Fire </w:t>
            </w:r>
            <w:r>
              <w:rPr>
                <w:i/>
                <w:spacing w:val="-2"/>
                <w:sz w:val="20"/>
              </w:rPr>
              <w:t>Protection</w:t>
            </w:r>
          </w:p>
        </w:tc>
        <w:tc>
          <w:tcPr>
            <w:tcW w:w="1691" w:type="dxa"/>
            <w:gridSpan w:val="3"/>
          </w:tcPr>
          <w:p>
            <w:pPr>
              <w:pStyle w:val="TableParagraph"/>
              <w:spacing w:before="118"/>
              <w:ind w:left="155"/>
              <w:rPr>
                <w:i/>
                <w:sz w:val="20"/>
              </w:rPr>
            </w:pPr>
            <w:r>
              <w:rPr>
                <w:i/>
                <w:sz w:val="20"/>
              </w:rPr>
              <w:t>Residual</w:t>
            </w:r>
            <w:r>
              <w:rPr>
                <w:i/>
                <w:spacing w:val="-5"/>
                <w:sz w:val="20"/>
              </w:rPr>
              <w:t> </w:t>
            </w:r>
            <w:r>
              <w:rPr>
                <w:i/>
                <w:sz w:val="20"/>
              </w:rPr>
              <w:t>fire </w:t>
            </w:r>
            <w:r>
              <w:rPr>
                <w:i/>
                <w:spacing w:val="-4"/>
                <w:sz w:val="20"/>
              </w:rPr>
              <w:t>risk</w:t>
            </w:r>
          </w:p>
        </w:tc>
      </w:tr>
      <w:tr>
        <w:trPr>
          <w:trHeight w:val="370" w:hRule="atLeast"/>
        </w:trPr>
        <w:tc>
          <w:tcPr>
            <w:tcW w:w="495" w:type="dxa"/>
            <w:vMerge/>
            <w:tcBorders>
              <w:top w:val="nil"/>
            </w:tcBorders>
          </w:tcPr>
          <w:p>
            <w:pPr>
              <w:rPr>
                <w:sz w:val="2"/>
                <w:szCs w:val="2"/>
              </w:rPr>
            </w:pPr>
          </w:p>
        </w:tc>
        <w:tc>
          <w:tcPr>
            <w:tcW w:w="2176" w:type="dxa"/>
            <w:vMerge/>
            <w:tcBorders>
              <w:top w:val="nil"/>
            </w:tcBorders>
          </w:tcPr>
          <w:p>
            <w:pPr>
              <w:rPr>
                <w:sz w:val="2"/>
                <w:szCs w:val="2"/>
              </w:rPr>
            </w:pPr>
          </w:p>
        </w:tc>
        <w:tc>
          <w:tcPr>
            <w:tcW w:w="1331" w:type="dxa"/>
            <w:vMerge/>
            <w:tcBorders>
              <w:top w:val="nil"/>
            </w:tcBorders>
          </w:tcPr>
          <w:p>
            <w:pPr>
              <w:rPr>
                <w:sz w:val="2"/>
                <w:szCs w:val="2"/>
              </w:rPr>
            </w:pPr>
          </w:p>
        </w:tc>
        <w:tc>
          <w:tcPr>
            <w:tcW w:w="565" w:type="dxa"/>
          </w:tcPr>
          <w:p>
            <w:pPr>
              <w:pStyle w:val="TableParagraph"/>
              <w:spacing w:before="118"/>
              <w:ind w:left="7" w:right="1"/>
              <w:jc w:val="center"/>
              <w:rPr>
                <w:i/>
                <w:sz w:val="20"/>
              </w:rPr>
            </w:pPr>
            <w:r>
              <w:rPr>
                <w:i/>
                <w:spacing w:val="-10"/>
                <w:sz w:val="20"/>
              </w:rPr>
              <w:t>L</w:t>
            </w:r>
          </w:p>
        </w:tc>
        <w:tc>
          <w:tcPr>
            <w:tcW w:w="555" w:type="dxa"/>
          </w:tcPr>
          <w:p>
            <w:pPr>
              <w:pStyle w:val="TableParagraph"/>
              <w:spacing w:before="118"/>
              <w:ind w:right="3"/>
              <w:jc w:val="center"/>
              <w:rPr>
                <w:i/>
                <w:sz w:val="20"/>
              </w:rPr>
            </w:pPr>
            <w:r>
              <w:rPr>
                <w:i/>
                <w:spacing w:val="-10"/>
                <w:sz w:val="20"/>
              </w:rPr>
              <w:t>S</w:t>
            </w:r>
          </w:p>
        </w:tc>
        <w:tc>
          <w:tcPr>
            <w:tcW w:w="575" w:type="dxa"/>
          </w:tcPr>
          <w:p>
            <w:pPr>
              <w:pStyle w:val="TableParagraph"/>
              <w:spacing w:before="118"/>
              <w:ind w:left="115"/>
              <w:rPr>
                <w:i/>
                <w:sz w:val="20"/>
              </w:rPr>
            </w:pPr>
            <w:r>
              <w:rPr>
                <w:i/>
                <w:spacing w:val="-4"/>
                <w:sz w:val="20"/>
              </w:rPr>
              <w:t>Risk</w:t>
            </w:r>
          </w:p>
        </w:tc>
        <w:tc>
          <w:tcPr>
            <w:tcW w:w="1686" w:type="dxa"/>
            <w:vMerge/>
            <w:tcBorders>
              <w:top w:val="nil"/>
            </w:tcBorders>
          </w:tcPr>
          <w:p>
            <w:pPr>
              <w:rPr>
                <w:sz w:val="2"/>
                <w:szCs w:val="2"/>
              </w:rPr>
            </w:pPr>
          </w:p>
        </w:tc>
        <w:tc>
          <w:tcPr>
            <w:tcW w:w="565" w:type="dxa"/>
          </w:tcPr>
          <w:p>
            <w:pPr>
              <w:pStyle w:val="TableParagraph"/>
              <w:spacing w:before="118"/>
              <w:ind w:left="7"/>
              <w:jc w:val="center"/>
              <w:rPr>
                <w:i/>
                <w:sz w:val="20"/>
              </w:rPr>
            </w:pPr>
            <w:r>
              <w:rPr>
                <w:i/>
                <w:spacing w:val="-10"/>
                <w:sz w:val="20"/>
              </w:rPr>
              <w:t>L</w:t>
            </w:r>
          </w:p>
        </w:tc>
        <w:tc>
          <w:tcPr>
            <w:tcW w:w="561" w:type="dxa"/>
          </w:tcPr>
          <w:p>
            <w:pPr>
              <w:pStyle w:val="TableParagraph"/>
              <w:spacing w:before="118"/>
              <w:jc w:val="center"/>
              <w:rPr>
                <w:i/>
                <w:sz w:val="20"/>
              </w:rPr>
            </w:pPr>
            <w:r>
              <w:rPr>
                <w:i/>
                <w:spacing w:val="-10"/>
                <w:sz w:val="20"/>
              </w:rPr>
              <w:t>S</w:t>
            </w:r>
          </w:p>
        </w:tc>
        <w:tc>
          <w:tcPr>
            <w:tcW w:w="565" w:type="dxa"/>
          </w:tcPr>
          <w:p>
            <w:pPr>
              <w:pStyle w:val="TableParagraph"/>
              <w:spacing w:before="118"/>
              <w:ind w:left="104"/>
              <w:rPr>
                <w:i/>
                <w:sz w:val="20"/>
              </w:rPr>
            </w:pPr>
            <w:r>
              <w:rPr>
                <w:i/>
                <w:spacing w:val="-4"/>
                <w:sz w:val="20"/>
              </w:rPr>
              <w:t>Risk</w:t>
            </w:r>
          </w:p>
        </w:tc>
      </w:tr>
      <w:tr>
        <w:trPr>
          <w:trHeight w:val="370" w:hRule="atLeast"/>
        </w:trPr>
        <w:tc>
          <w:tcPr>
            <w:tcW w:w="495" w:type="dxa"/>
          </w:tcPr>
          <w:p>
            <w:pPr>
              <w:pStyle w:val="TableParagraph"/>
              <w:rPr>
                <w:sz w:val="18"/>
              </w:rPr>
            </w:pPr>
          </w:p>
        </w:tc>
        <w:tc>
          <w:tcPr>
            <w:tcW w:w="2176" w:type="dxa"/>
          </w:tcPr>
          <w:p>
            <w:pPr>
              <w:pStyle w:val="TableParagraph"/>
              <w:rPr>
                <w:sz w:val="18"/>
              </w:rPr>
            </w:pPr>
          </w:p>
        </w:tc>
        <w:tc>
          <w:tcPr>
            <w:tcW w:w="1331" w:type="dxa"/>
          </w:tcPr>
          <w:p>
            <w:pPr>
              <w:pStyle w:val="TableParagraph"/>
              <w:rPr>
                <w:sz w:val="18"/>
              </w:rPr>
            </w:pPr>
          </w:p>
        </w:tc>
        <w:tc>
          <w:tcPr>
            <w:tcW w:w="565" w:type="dxa"/>
          </w:tcPr>
          <w:p>
            <w:pPr>
              <w:pStyle w:val="TableParagraph"/>
              <w:rPr>
                <w:sz w:val="18"/>
              </w:rPr>
            </w:pPr>
          </w:p>
        </w:tc>
        <w:tc>
          <w:tcPr>
            <w:tcW w:w="555" w:type="dxa"/>
          </w:tcPr>
          <w:p>
            <w:pPr>
              <w:pStyle w:val="TableParagraph"/>
              <w:rPr>
                <w:sz w:val="18"/>
              </w:rPr>
            </w:pPr>
          </w:p>
        </w:tc>
        <w:tc>
          <w:tcPr>
            <w:tcW w:w="575" w:type="dxa"/>
          </w:tcPr>
          <w:p>
            <w:pPr>
              <w:pStyle w:val="TableParagraph"/>
              <w:rPr>
                <w:sz w:val="18"/>
              </w:rPr>
            </w:pPr>
          </w:p>
        </w:tc>
        <w:tc>
          <w:tcPr>
            <w:tcW w:w="1686" w:type="dxa"/>
          </w:tcPr>
          <w:p>
            <w:pPr>
              <w:pStyle w:val="TableParagraph"/>
              <w:rPr>
                <w:sz w:val="18"/>
              </w:rPr>
            </w:pPr>
          </w:p>
        </w:tc>
        <w:tc>
          <w:tcPr>
            <w:tcW w:w="565" w:type="dxa"/>
          </w:tcPr>
          <w:p>
            <w:pPr>
              <w:pStyle w:val="TableParagraph"/>
              <w:rPr>
                <w:sz w:val="18"/>
              </w:rPr>
            </w:pPr>
          </w:p>
        </w:tc>
        <w:tc>
          <w:tcPr>
            <w:tcW w:w="561" w:type="dxa"/>
          </w:tcPr>
          <w:p>
            <w:pPr>
              <w:pStyle w:val="TableParagraph"/>
              <w:rPr>
                <w:sz w:val="18"/>
              </w:rPr>
            </w:pPr>
          </w:p>
        </w:tc>
        <w:tc>
          <w:tcPr>
            <w:tcW w:w="565" w:type="dxa"/>
          </w:tcPr>
          <w:p>
            <w:pPr>
              <w:pStyle w:val="TableParagraph"/>
              <w:rPr>
                <w:sz w:val="18"/>
              </w:rPr>
            </w:pPr>
          </w:p>
        </w:tc>
      </w:tr>
      <w:tr>
        <w:trPr>
          <w:trHeight w:val="370" w:hRule="atLeast"/>
        </w:trPr>
        <w:tc>
          <w:tcPr>
            <w:tcW w:w="495" w:type="dxa"/>
          </w:tcPr>
          <w:p>
            <w:pPr>
              <w:pStyle w:val="TableParagraph"/>
              <w:rPr>
                <w:sz w:val="18"/>
              </w:rPr>
            </w:pPr>
          </w:p>
        </w:tc>
        <w:tc>
          <w:tcPr>
            <w:tcW w:w="2176" w:type="dxa"/>
          </w:tcPr>
          <w:p>
            <w:pPr>
              <w:pStyle w:val="TableParagraph"/>
              <w:rPr>
                <w:sz w:val="18"/>
              </w:rPr>
            </w:pPr>
          </w:p>
        </w:tc>
        <w:tc>
          <w:tcPr>
            <w:tcW w:w="1331" w:type="dxa"/>
          </w:tcPr>
          <w:p>
            <w:pPr>
              <w:pStyle w:val="TableParagraph"/>
              <w:rPr>
                <w:sz w:val="18"/>
              </w:rPr>
            </w:pPr>
          </w:p>
        </w:tc>
        <w:tc>
          <w:tcPr>
            <w:tcW w:w="565" w:type="dxa"/>
          </w:tcPr>
          <w:p>
            <w:pPr>
              <w:pStyle w:val="TableParagraph"/>
              <w:rPr>
                <w:sz w:val="18"/>
              </w:rPr>
            </w:pPr>
          </w:p>
        </w:tc>
        <w:tc>
          <w:tcPr>
            <w:tcW w:w="555" w:type="dxa"/>
          </w:tcPr>
          <w:p>
            <w:pPr>
              <w:pStyle w:val="TableParagraph"/>
              <w:rPr>
                <w:sz w:val="18"/>
              </w:rPr>
            </w:pPr>
          </w:p>
        </w:tc>
        <w:tc>
          <w:tcPr>
            <w:tcW w:w="575" w:type="dxa"/>
          </w:tcPr>
          <w:p>
            <w:pPr>
              <w:pStyle w:val="TableParagraph"/>
              <w:rPr>
                <w:sz w:val="18"/>
              </w:rPr>
            </w:pPr>
          </w:p>
        </w:tc>
        <w:tc>
          <w:tcPr>
            <w:tcW w:w="1686" w:type="dxa"/>
          </w:tcPr>
          <w:p>
            <w:pPr>
              <w:pStyle w:val="TableParagraph"/>
              <w:rPr>
                <w:sz w:val="18"/>
              </w:rPr>
            </w:pPr>
          </w:p>
        </w:tc>
        <w:tc>
          <w:tcPr>
            <w:tcW w:w="565" w:type="dxa"/>
          </w:tcPr>
          <w:p>
            <w:pPr>
              <w:pStyle w:val="TableParagraph"/>
              <w:rPr>
                <w:sz w:val="18"/>
              </w:rPr>
            </w:pPr>
          </w:p>
        </w:tc>
        <w:tc>
          <w:tcPr>
            <w:tcW w:w="561" w:type="dxa"/>
          </w:tcPr>
          <w:p>
            <w:pPr>
              <w:pStyle w:val="TableParagraph"/>
              <w:rPr>
                <w:sz w:val="18"/>
              </w:rPr>
            </w:pPr>
          </w:p>
        </w:tc>
        <w:tc>
          <w:tcPr>
            <w:tcW w:w="565" w:type="dxa"/>
          </w:tcPr>
          <w:p>
            <w:pPr>
              <w:pStyle w:val="TableParagraph"/>
              <w:rPr>
                <w:sz w:val="18"/>
              </w:rPr>
            </w:pPr>
          </w:p>
        </w:tc>
      </w:tr>
    </w:tbl>
    <w:p>
      <w:pPr>
        <w:pStyle w:val="BodyText"/>
        <w:spacing w:before="3"/>
      </w:pPr>
      <w:r>
        <w:rPr/>
        <w:t>Sumber</w:t>
      </w:r>
      <w:r>
        <w:rPr>
          <w:spacing w:val="-4"/>
        </w:rPr>
        <w:t> </w:t>
      </w:r>
      <w:r>
        <w:rPr/>
        <w:t>:</w:t>
      </w:r>
      <w:r>
        <w:rPr>
          <w:spacing w:val="-2"/>
        </w:rPr>
        <w:t> </w:t>
      </w:r>
      <w:r>
        <w:rPr/>
        <w:t>(Yung,</w:t>
      </w:r>
      <w:r>
        <w:rPr>
          <w:spacing w:val="-1"/>
        </w:rPr>
        <w:t> </w:t>
      </w:r>
      <w:r>
        <w:rPr>
          <w:spacing w:val="-2"/>
        </w:rPr>
        <w:t>2008)</w:t>
      </w:r>
    </w:p>
    <w:p>
      <w:pPr>
        <w:pStyle w:val="Heading3"/>
        <w:spacing w:before="120"/>
      </w:pPr>
      <w:r>
        <w:rPr/>
        <w:t>Water Spray</w:t>
      </w:r>
      <w:r>
        <w:rPr>
          <w:spacing w:val="1"/>
        </w:rPr>
        <w:t> </w:t>
      </w:r>
      <w:r>
        <w:rPr>
          <w:spacing w:val="-2"/>
        </w:rPr>
        <w:t>System</w:t>
      </w:r>
    </w:p>
    <w:p>
      <w:pPr>
        <w:pStyle w:val="BodyText"/>
        <w:spacing w:before="121"/>
        <w:ind w:right="135" w:firstLine="425"/>
        <w:jc w:val="both"/>
      </w:pPr>
      <w:r>
        <w:rPr/>
        <w:t>Sistem </w:t>
      </w:r>
      <w:r>
        <w:rPr>
          <w:i/>
        </w:rPr>
        <w:t>water spray </w:t>
      </w:r>
      <w:r>
        <w:rPr/>
        <w:t>merupakan sistem perpipaan tetap yang terhubung dengan sumber air dan dilengkapi nozzle untuk mendistribusikan air pada area atau peralatan yang dilindungi dari bahaya kebakaran Ketika diaktifkan</w:t>
      </w:r>
      <w:r>
        <w:rPr>
          <w:spacing w:val="-13"/>
        </w:rPr>
        <w:t> </w:t>
      </w:r>
      <w:r>
        <w:rPr/>
        <w:t>oleh</w:t>
      </w:r>
      <w:r>
        <w:rPr>
          <w:spacing w:val="-12"/>
        </w:rPr>
        <w:t> </w:t>
      </w:r>
      <w:r>
        <w:rPr/>
        <w:t>sinyal</w:t>
      </w:r>
      <w:r>
        <w:rPr>
          <w:spacing w:val="-13"/>
        </w:rPr>
        <w:t> </w:t>
      </w:r>
      <w:r>
        <w:rPr/>
        <w:t>dari</w:t>
      </w:r>
      <w:r>
        <w:rPr>
          <w:spacing w:val="-12"/>
        </w:rPr>
        <w:t> </w:t>
      </w:r>
      <w:r>
        <w:rPr/>
        <w:t>sistem</w:t>
      </w:r>
      <w:r>
        <w:rPr>
          <w:spacing w:val="-13"/>
        </w:rPr>
        <w:t> </w:t>
      </w:r>
      <w:r>
        <w:rPr/>
        <w:t>deteksi,</w:t>
      </w:r>
      <w:r>
        <w:rPr>
          <w:spacing w:val="-12"/>
        </w:rPr>
        <w:t> </w:t>
      </w:r>
      <w:r>
        <w:rPr/>
        <w:t>air</w:t>
      </w:r>
      <w:r>
        <w:rPr>
          <w:spacing w:val="-13"/>
        </w:rPr>
        <w:t> </w:t>
      </w:r>
      <w:r>
        <w:rPr/>
        <w:t>dilepaskan</w:t>
      </w:r>
      <w:r>
        <w:rPr>
          <w:spacing w:val="-12"/>
        </w:rPr>
        <w:t> </w:t>
      </w:r>
      <w:r>
        <w:rPr/>
        <w:t>dari</w:t>
      </w:r>
      <w:r>
        <w:rPr>
          <w:spacing w:val="-13"/>
        </w:rPr>
        <w:t> </w:t>
      </w:r>
      <w:r>
        <w:rPr/>
        <w:t>semua</w:t>
      </w:r>
      <w:r>
        <w:rPr>
          <w:spacing w:val="-12"/>
        </w:rPr>
        <w:t> </w:t>
      </w:r>
      <w:r>
        <w:rPr>
          <w:i/>
        </w:rPr>
        <w:t>nozzle</w:t>
      </w:r>
      <w:r>
        <w:rPr>
          <w:i/>
          <w:spacing w:val="-13"/>
        </w:rPr>
        <w:t> </w:t>
      </w:r>
      <w:r>
        <w:rPr/>
        <w:t>pada</w:t>
      </w:r>
      <w:r>
        <w:rPr>
          <w:spacing w:val="-12"/>
        </w:rPr>
        <w:t> </w:t>
      </w:r>
      <w:r>
        <w:rPr/>
        <w:t>sistem</w:t>
      </w:r>
      <w:r>
        <w:rPr>
          <w:spacing w:val="-13"/>
        </w:rPr>
        <w:t> </w:t>
      </w:r>
      <w:r>
        <w:rPr/>
        <w:t>secara</w:t>
      </w:r>
      <w:r>
        <w:rPr>
          <w:spacing w:val="-12"/>
        </w:rPr>
        <w:t> </w:t>
      </w:r>
      <w:r>
        <w:rPr/>
        <w:t>bersamaan.</w:t>
      </w:r>
      <w:r>
        <w:rPr>
          <w:spacing w:val="-13"/>
        </w:rPr>
        <w:t> </w:t>
      </w:r>
      <w:r>
        <w:rPr/>
        <w:t>Mengacu pada pedoman NFPA 15 (2022), standar ini menetapkan densitas semprotan air (</w:t>
      </w:r>
      <w:r>
        <w:rPr>
          <w:i/>
        </w:rPr>
        <w:t>water application rate</w:t>
      </w:r>
      <w:r>
        <w:rPr/>
        <w:t>) sebesar 10,2</w:t>
      </w:r>
      <w:r>
        <w:rPr>
          <w:spacing w:val="-1"/>
        </w:rPr>
        <w:t> </w:t>
      </w:r>
      <w:r>
        <w:rPr/>
        <w:t>lpm/m² (0,25</w:t>
      </w:r>
      <w:r>
        <w:rPr>
          <w:spacing w:val="-1"/>
        </w:rPr>
        <w:t> </w:t>
      </w:r>
      <w:r>
        <w:rPr/>
        <w:t>gpm/ft²)</w:t>
      </w:r>
      <w:r>
        <w:rPr>
          <w:spacing w:val="-4"/>
        </w:rPr>
        <w:t> </w:t>
      </w:r>
      <w:r>
        <w:rPr/>
        <w:t>untuk memastikan</w:t>
      </w:r>
      <w:r>
        <w:rPr>
          <w:spacing w:val="-1"/>
        </w:rPr>
        <w:t> </w:t>
      </w:r>
      <w:r>
        <w:rPr/>
        <w:t>efektivitas pendinginan.</w:t>
      </w:r>
      <w:r>
        <w:rPr>
          <w:spacing w:val="-1"/>
        </w:rPr>
        <w:t> </w:t>
      </w:r>
      <w:r>
        <w:rPr/>
        <w:t>Penentuan</w:t>
      </w:r>
      <w:r>
        <w:rPr>
          <w:spacing w:val="-1"/>
        </w:rPr>
        <w:t> </w:t>
      </w:r>
      <w:r>
        <w:rPr/>
        <w:t>kebutuhan</w:t>
      </w:r>
      <w:r>
        <w:rPr>
          <w:spacing w:val="-1"/>
        </w:rPr>
        <w:t> </w:t>
      </w:r>
      <w:r>
        <w:rPr/>
        <w:t>air</w:t>
      </w:r>
      <w:r>
        <w:rPr>
          <w:spacing w:val="-4"/>
        </w:rPr>
        <w:t> </w:t>
      </w:r>
      <w:r>
        <w:rPr/>
        <w:t>dihitung melalui perhitungan</w:t>
      </w:r>
      <w:r>
        <w:rPr>
          <w:spacing w:val="-8"/>
        </w:rPr>
        <w:t> </w:t>
      </w:r>
      <w:r>
        <w:rPr/>
        <w:t>luas</w:t>
      </w:r>
      <w:r>
        <w:rPr>
          <w:spacing w:val="-7"/>
        </w:rPr>
        <w:t> </w:t>
      </w:r>
      <w:r>
        <w:rPr/>
        <w:t>area</w:t>
      </w:r>
      <w:r>
        <w:rPr>
          <w:spacing w:val="-7"/>
        </w:rPr>
        <w:t> </w:t>
      </w:r>
      <w:r>
        <w:rPr/>
        <w:t>yang</w:t>
      </w:r>
      <w:r>
        <w:rPr>
          <w:spacing w:val="-8"/>
        </w:rPr>
        <w:t> </w:t>
      </w:r>
      <w:r>
        <w:rPr/>
        <w:t>dilindungi</w:t>
      </w:r>
      <w:r>
        <w:rPr>
          <w:spacing w:val="-9"/>
        </w:rPr>
        <w:t> </w:t>
      </w:r>
      <w:r>
        <w:rPr/>
        <w:t>berupa</w:t>
      </w:r>
      <w:r>
        <w:rPr>
          <w:spacing w:val="-7"/>
        </w:rPr>
        <w:t> </w:t>
      </w:r>
      <w:r>
        <w:rPr/>
        <w:t>luas</w:t>
      </w:r>
      <w:r>
        <w:rPr>
          <w:spacing w:val="-7"/>
        </w:rPr>
        <w:t> </w:t>
      </w:r>
      <w:r>
        <w:rPr/>
        <w:t>permukaan</w:t>
      </w:r>
      <w:r>
        <w:rPr>
          <w:spacing w:val="-8"/>
        </w:rPr>
        <w:t> </w:t>
      </w:r>
      <w:r>
        <w:rPr/>
        <w:t>shell</w:t>
      </w:r>
      <w:r>
        <w:rPr>
          <w:spacing w:val="-10"/>
        </w:rPr>
        <w:t> </w:t>
      </w:r>
      <w:r>
        <w:rPr/>
        <w:t>dengan</w:t>
      </w:r>
      <w:r>
        <w:rPr>
          <w:spacing w:val="-8"/>
        </w:rPr>
        <w:t> </w:t>
      </w:r>
      <w:r>
        <w:rPr/>
        <w:t>Persamaan</w:t>
      </w:r>
      <w:r>
        <w:rPr>
          <w:spacing w:val="-8"/>
        </w:rPr>
        <w:t> </w:t>
      </w:r>
      <w:r>
        <w:rPr/>
        <w:t>2.1.</w:t>
      </w:r>
      <w:r>
        <w:rPr>
          <w:spacing w:val="-8"/>
        </w:rPr>
        <w:t> </w:t>
      </w:r>
      <w:r>
        <w:rPr/>
        <w:t>Kemudian</w:t>
      </w:r>
      <w:r>
        <w:rPr>
          <w:spacing w:val="-8"/>
        </w:rPr>
        <w:t> </w:t>
      </w:r>
      <w:r>
        <w:rPr/>
        <w:t>menghitung kapasitas debit menggunakan rumus pada Persamaan 2.2 setelah itu menghitung kebutuhan air menggunakan Persamaan 2.3.</w:t>
      </w:r>
    </w:p>
    <w:p>
      <w:pPr>
        <w:pStyle w:val="BodyText"/>
        <w:spacing w:after="0"/>
        <w:jc w:val="both"/>
        <w:sectPr>
          <w:pgSz w:w="11910" w:h="16840"/>
          <w:pgMar w:header="960" w:footer="0" w:top="1820" w:bottom="280" w:left="1559" w:right="992"/>
        </w:sectPr>
      </w:pPr>
    </w:p>
    <w:p>
      <w:pPr>
        <w:pStyle w:val="BodyText"/>
        <w:ind w:left="0"/>
      </w:pPr>
    </w:p>
    <w:p>
      <w:pPr>
        <w:pStyle w:val="BodyText"/>
        <w:ind w:left="0"/>
      </w:pPr>
    </w:p>
    <w:p>
      <w:pPr>
        <w:pStyle w:val="BodyText"/>
        <w:ind w:left="0"/>
      </w:pPr>
    </w:p>
    <w:p>
      <w:pPr>
        <w:pStyle w:val="BodyText"/>
        <w:spacing w:before="226"/>
        <w:ind w:left="0"/>
      </w:pPr>
    </w:p>
    <w:p>
      <w:pPr>
        <w:pStyle w:val="Heading2"/>
        <w:numPr>
          <w:ilvl w:val="0"/>
          <w:numId w:val="1"/>
        </w:numPr>
        <w:tabs>
          <w:tab w:pos="566" w:val="left" w:leader="none"/>
        </w:tabs>
        <w:spacing w:line="240" w:lineRule="auto" w:before="0" w:after="0"/>
        <w:ind w:left="566" w:right="0" w:hanging="425"/>
        <w:jc w:val="left"/>
      </w:pPr>
      <w:r>
        <w:rPr/>
        <w:t>HASIL DAN</w:t>
      </w:r>
      <w:r>
        <w:rPr>
          <w:spacing w:val="-1"/>
        </w:rPr>
        <w:t> </w:t>
      </w:r>
      <w:r>
        <w:rPr>
          <w:spacing w:val="-2"/>
        </w:rPr>
        <w:t>PEMBAHASAN</w:t>
      </w:r>
    </w:p>
    <w:p>
      <w:pPr>
        <w:pStyle w:val="BodyText"/>
        <w:tabs>
          <w:tab w:pos="5218" w:val="left" w:leader="none"/>
        </w:tabs>
        <w:spacing w:before="122"/>
        <w:rPr>
          <w:rFonts w:ascii="Cambria" w:eastAsia="Cambria"/>
        </w:rPr>
      </w:pPr>
      <w:r>
        <w:rPr/>
        <w:br w:type="column"/>
      </w:r>
      <w:r>
        <w:rPr>
          <w:rFonts w:ascii="Cambria Math" w:eastAsia="Cambria Math"/>
        </w:rPr>
        <w:t>𝐿</w:t>
      </w:r>
      <w:r>
        <w:rPr>
          <w:rFonts w:ascii="Cambria Math" w:eastAsia="Cambria Math"/>
          <w:vertAlign w:val="subscript"/>
        </w:rPr>
        <w:t>𝑝</w:t>
      </w:r>
      <w:r>
        <w:rPr>
          <w:rFonts w:ascii="Cambria Math" w:eastAsia="Cambria Math"/>
          <w:spacing w:val="69"/>
          <w:w w:val="150"/>
          <w:vertAlign w:val="baseline"/>
        </w:rPr>
        <w:t> </w:t>
      </w:r>
      <w:r>
        <w:rPr>
          <w:rFonts w:ascii="Cambria" w:eastAsia="Cambria"/>
          <w:vertAlign w:val="baseline"/>
        </w:rPr>
        <w:t>=</w:t>
      </w:r>
      <w:r>
        <w:rPr>
          <w:rFonts w:ascii="Cambria" w:eastAsia="Cambria"/>
          <w:spacing w:val="2"/>
          <w:vertAlign w:val="baseline"/>
        </w:rPr>
        <w:t> </w:t>
      </w:r>
      <w:r>
        <w:rPr>
          <w:rFonts w:ascii="Cambria Math" w:eastAsia="Cambria Math"/>
          <w:vertAlign w:val="baseline"/>
        </w:rPr>
        <w:t>2</w:t>
      </w:r>
      <w:r>
        <w:rPr>
          <w:rFonts w:ascii="Cambria Math" w:eastAsia="Cambria Math"/>
          <w:spacing w:val="1"/>
          <w:vertAlign w:val="baseline"/>
        </w:rPr>
        <w:t> </w:t>
      </w:r>
      <w:r>
        <w:rPr>
          <w:rFonts w:ascii="Cambria Math" w:eastAsia="Cambria Math"/>
          <w:vertAlign w:val="baseline"/>
        </w:rPr>
        <w:t>𝑥</w:t>
      </w:r>
      <w:r>
        <w:rPr>
          <w:rFonts w:ascii="Cambria Math" w:eastAsia="Cambria Math"/>
          <w:spacing w:val="5"/>
          <w:vertAlign w:val="baseline"/>
        </w:rPr>
        <w:t> </w:t>
      </w:r>
      <w:r>
        <w:rPr>
          <w:rFonts w:ascii="Cambria Math" w:eastAsia="Cambria Math"/>
          <w:vertAlign w:val="baseline"/>
        </w:rPr>
        <w:t>𝜋</w:t>
      </w:r>
      <w:r>
        <w:rPr>
          <w:rFonts w:ascii="Cambria Math" w:eastAsia="Cambria Math"/>
          <w:spacing w:val="4"/>
          <w:vertAlign w:val="baseline"/>
        </w:rPr>
        <w:t> </w:t>
      </w:r>
      <w:r>
        <w:rPr>
          <w:rFonts w:ascii="Cambria Math" w:eastAsia="Cambria Math"/>
          <w:vertAlign w:val="baseline"/>
        </w:rPr>
        <w:t>𝑥</w:t>
      </w:r>
      <w:r>
        <w:rPr>
          <w:rFonts w:ascii="Cambria Math" w:eastAsia="Cambria Math"/>
          <w:spacing w:val="10"/>
          <w:vertAlign w:val="baseline"/>
        </w:rPr>
        <w:t> </w:t>
      </w:r>
      <w:r>
        <w:rPr>
          <w:rFonts w:ascii="Cambria Math" w:eastAsia="Cambria Math"/>
          <w:vertAlign w:val="baseline"/>
        </w:rPr>
        <w:t>𝑟</w:t>
      </w:r>
      <w:r>
        <w:rPr>
          <w:rFonts w:ascii="Cambria Math" w:eastAsia="Cambria Math"/>
          <w:spacing w:val="1"/>
          <w:vertAlign w:val="baseline"/>
        </w:rPr>
        <w:t> </w:t>
      </w:r>
      <w:r>
        <w:rPr>
          <w:rFonts w:ascii="Cambria Math" w:eastAsia="Cambria Math"/>
          <w:vertAlign w:val="baseline"/>
        </w:rPr>
        <w:t>𝑥</w:t>
      </w:r>
      <w:r>
        <w:rPr>
          <w:rFonts w:ascii="Cambria Math" w:eastAsia="Cambria Math"/>
          <w:spacing w:val="11"/>
          <w:vertAlign w:val="baseline"/>
        </w:rPr>
        <w:t> </w:t>
      </w:r>
      <w:r>
        <w:rPr>
          <w:rFonts w:ascii="Cambria Math" w:eastAsia="Cambria Math"/>
          <w:spacing w:val="-10"/>
          <w:vertAlign w:val="baseline"/>
        </w:rPr>
        <w:t>𝑡</w:t>
      </w:r>
      <w:r>
        <w:rPr>
          <w:rFonts w:ascii="Cambria Math" w:eastAsia="Cambria Math"/>
          <w:vertAlign w:val="baseline"/>
        </w:rPr>
        <w:tab/>
      </w:r>
      <w:r>
        <w:rPr>
          <w:rFonts w:ascii="Cambria" w:eastAsia="Cambria"/>
          <w:spacing w:val="-2"/>
          <w:vertAlign w:val="baseline"/>
        </w:rPr>
        <w:t>(2.1)</w:t>
      </w:r>
    </w:p>
    <w:p>
      <w:pPr>
        <w:pStyle w:val="BodyText"/>
        <w:tabs>
          <w:tab w:pos="5218" w:val="left" w:leader="none"/>
        </w:tabs>
        <w:spacing w:before="41"/>
        <w:ind w:left="321"/>
        <w:rPr>
          <w:rFonts w:ascii="Cambria" w:eastAsia="Cambria"/>
          <w:position w:val="-11"/>
        </w:rPr>
      </w:pPr>
      <w:r>
        <w:rPr>
          <w:rFonts w:ascii="Cambria Math" w:eastAsia="Cambria Math"/>
        </w:rPr>
        <w:t>𝑄</w:t>
      </w:r>
      <w:r>
        <w:rPr>
          <w:rFonts w:ascii="Cambria Math" w:eastAsia="Cambria Math"/>
          <w:spacing w:val="18"/>
        </w:rPr>
        <w:t> </w:t>
      </w:r>
      <w:r>
        <w:rPr>
          <w:rFonts w:ascii="Cambria Math" w:eastAsia="Cambria Math"/>
        </w:rPr>
        <w:t>=</w:t>
      </w:r>
      <w:r>
        <w:rPr>
          <w:rFonts w:ascii="Cambria Math" w:eastAsia="Cambria Math"/>
          <w:spacing w:val="61"/>
        </w:rPr>
        <w:t> </w:t>
      </w:r>
      <w:r>
        <w:rPr>
          <w:rFonts w:ascii="Cambria Math" w:eastAsia="Cambria Math"/>
        </w:rPr>
        <w:t>𝐿</w:t>
      </w:r>
      <w:r>
        <w:rPr>
          <w:rFonts w:ascii="Cambria Math" w:eastAsia="Cambria Math"/>
          <w:vertAlign w:val="subscript"/>
        </w:rPr>
        <w:t>𝑝</w:t>
      </w:r>
      <w:r>
        <w:rPr>
          <w:rFonts w:ascii="Cambria Math" w:eastAsia="Cambria Math"/>
          <w:spacing w:val="46"/>
          <w:vertAlign w:val="baseline"/>
        </w:rPr>
        <w:t> </w:t>
      </w:r>
      <w:r>
        <w:rPr>
          <w:rFonts w:ascii="Cambria Math" w:eastAsia="Cambria Math"/>
          <w:vertAlign w:val="baseline"/>
        </w:rPr>
        <w:t>𝑥</w:t>
      </w:r>
      <w:r>
        <w:rPr>
          <w:rFonts w:ascii="Cambria Math" w:eastAsia="Cambria Math"/>
          <w:spacing w:val="6"/>
          <w:vertAlign w:val="baseline"/>
        </w:rPr>
        <w:t> </w:t>
      </w:r>
      <w:r>
        <w:rPr>
          <w:rFonts w:ascii="Cambria Math" w:eastAsia="Cambria Math"/>
          <w:spacing w:val="-5"/>
          <w:vertAlign w:val="baseline"/>
        </w:rPr>
        <w:t>𝑄</w:t>
      </w:r>
      <w:r>
        <w:rPr>
          <w:rFonts w:ascii="Cambria Math" w:eastAsia="Cambria Math"/>
          <w:spacing w:val="-5"/>
          <w:vertAlign w:val="subscript"/>
        </w:rPr>
        <w:t>𝑚</w:t>
      </w:r>
      <w:r>
        <w:rPr>
          <w:rFonts w:ascii="Cambria Math" w:eastAsia="Cambria Math"/>
          <w:vertAlign w:val="baseline"/>
        </w:rPr>
        <w:tab/>
      </w:r>
      <w:r>
        <w:rPr>
          <w:rFonts w:ascii="Cambria" w:eastAsia="Cambria"/>
          <w:spacing w:val="-2"/>
          <w:position w:val="-11"/>
          <w:vertAlign w:val="baseline"/>
        </w:rPr>
        <w:t>(2.2)</w:t>
      </w:r>
    </w:p>
    <w:p>
      <w:pPr>
        <w:pStyle w:val="BodyText"/>
        <w:tabs>
          <w:tab w:pos="5218" w:val="left" w:leader="none"/>
        </w:tabs>
        <w:spacing w:before="140"/>
        <w:ind w:left="517"/>
        <w:rPr>
          <w:rFonts w:ascii="Cambria"/>
        </w:rPr>
      </w:pPr>
      <w:r>
        <w:rPr>
          <w:rFonts w:ascii="Cambria"/>
        </w:rPr>
        <w:t>V = Q x</w:t>
      </w:r>
      <w:r>
        <w:rPr>
          <w:rFonts w:ascii="Cambria"/>
          <w:spacing w:val="-1"/>
        </w:rPr>
        <w:t> </w:t>
      </w:r>
      <w:r>
        <w:rPr>
          <w:rFonts w:ascii="Cambria"/>
          <w:spacing w:val="-10"/>
        </w:rPr>
        <w:t>T</w:t>
      </w:r>
      <w:r>
        <w:rPr>
          <w:rFonts w:ascii="Cambria"/>
        </w:rPr>
        <w:tab/>
      </w:r>
      <w:r>
        <w:rPr>
          <w:rFonts w:ascii="Cambria"/>
          <w:spacing w:val="-4"/>
        </w:rPr>
        <w:t>(2.3)</w:t>
      </w:r>
    </w:p>
    <w:p>
      <w:pPr>
        <w:pStyle w:val="BodyText"/>
        <w:spacing w:after="0"/>
        <w:rPr>
          <w:rFonts w:ascii="Cambria"/>
        </w:rPr>
        <w:sectPr>
          <w:type w:val="continuous"/>
          <w:pgSz w:w="11910" w:h="16840"/>
          <w:pgMar w:header="960" w:footer="0" w:top="1820" w:bottom="280" w:left="1559" w:right="992"/>
          <w:cols w:num="2" w:equalWidth="0">
            <w:col w:w="3190" w:space="97"/>
            <w:col w:w="6072"/>
          </w:cols>
        </w:sectPr>
      </w:pPr>
    </w:p>
    <w:p>
      <w:pPr>
        <w:pStyle w:val="Heading3"/>
        <w:spacing w:before="81"/>
        <w:ind w:left="566"/>
      </w:pPr>
      <w:r>
        <w:rPr/>
        <w:t>Fire</w:t>
      </w:r>
      <w:r>
        <w:rPr>
          <w:spacing w:val="-1"/>
        </w:rPr>
        <w:t> </w:t>
      </w:r>
      <w:r>
        <w:rPr/>
        <w:t>Risk</w:t>
      </w:r>
      <w:r>
        <w:rPr>
          <w:spacing w:val="-1"/>
        </w:rPr>
        <w:t> </w:t>
      </w:r>
      <w:r>
        <w:rPr>
          <w:spacing w:val="-2"/>
        </w:rPr>
        <w:t>Assessment</w:t>
      </w:r>
    </w:p>
    <w:p>
      <w:pPr>
        <w:pStyle w:val="BodyText"/>
        <w:spacing w:before="120"/>
        <w:ind w:right="133" w:firstLine="425"/>
        <w:jc w:val="both"/>
      </w:pPr>
      <w:r>
        <w:rPr/>
        <w:t>Evaluasi</w:t>
      </w:r>
      <w:r>
        <w:rPr>
          <w:spacing w:val="-4"/>
        </w:rPr>
        <w:t> </w:t>
      </w:r>
      <w:r>
        <w:rPr/>
        <w:t>risiko</w:t>
      </w:r>
      <w:r>
        <w:rPr>
          <w:spacing w:val="-3"/>
        </w:rPr>
        <w:t> </w:t>
      </w:r>
      <w:r>
        <w:rPr/>
        <w:t>kebakaran</w:t>
      </w:r>
      <w:r>
        <w:rPr>
          <w:spacing w:val="-3"/>
        </w:rPr>
        <w:t> </w:t>
      </w:r>
      <w:r>
        <w:rPr/>
        <w:t>pada</w:t>
      </w:r>
      <w:r>
        <w:rPr>
          <w:spacing w:val="-2"/>
        </w:rPr>
        <w:t> </w:t>
      </w:r>
      <w:r>
        <w:rPr/>
        <w:t>penelitian</w:t>
      </w:r>
      <w:r>
        <w:rPr>
          <w:spacing w:val="-3"/>
        </w:rPr>
        <w:t> </w:t>
      </w:r>
      <w:r>
        <w:rPr/>
        <w:t>ini</w:t>
      </w:r>
      <w:r>
        <w:rPr>
          <w:spacing w:val="-4"/>
        </w:rPr>
        <w:t> </w:t>
      </w:r>
      <w:r>
        <w:rPr/>
        <w:t>dilakukan</w:t>
      </w:r>
      <w:r>
        <w:rPr>
          <w:spacing w:val="-7"/>
        </w:rPr>
        <w:t> </w:t>
      </w:r>
      <w:r>
        <w:rPr/>
        <w:t>menggunakan</w:t>
      </w:r>
      <w:r>
        <w:rPr>
          <w:spacing w:val="-3"/>
        </w:rPr>
        <w:t> </w:t>
      </w:r>
      <w:r>
        <w:rPr/>
        <w:t>metode</w:t>
      </w:r>
      <w:r>
        <w:rPr>
          <w:spacing w:val="-2"/>
        </w:rPr>
        <w:t> </w:t>
      </w:r>
      <w:r>
        <w:rPr/>
        <w:t>kualitatif</w:t>
      </w:r>
      <w:r>
        <w:rPr>
          <w:spacing w:val="-5"/>
        </w:rPr>
        <w:t> </w:t>
      </w:r>
      <w:r>
        <w:rPr/>
        <w:t>yang</w:t>
      </w:r>
      <w:r>
        <w:rPr>
          <w:spacing w:val="-3"/>
        </w:rPr>
        <w:t> </w:t>
      </w:r>
      <w:r>
        <w:rPr/>
        <w:t>mengacu</w:t>
      </w:r>
      <w:r>
        <w:rPr>
          <w:spacing w:val="-3"/>
        </w:rPr>
        <w:t> </w:t>
      </w:r>
      <w:r>
        <w:rPr/>
        <w:t>pada </w:t>
      </w:r>
      <w:r>
        <w:rPr>
          <w:i/>
        </w:rPr>
        <w:t>Principles of Fire Risk Assessment in Buildings </w:t>
      </w:r>
      <w:r>
        <w:rPr/>
        <w:t>(Yung, 2008). Penentuan nilai pada </w:t>
      </w:r>
      <w:r>
        <w:rPr>
          <w:i/>
        </w:rPr>
        <w:t>risk matrix </w:t>
      </w:r>
      <w:r>
        <w:rPr/>
        <w:t>dalam penelitian ini dilakukan menggunakan pendekatan kualitatif. Pengumpulan data bersumber dari dua tahapan utama, yaitu observasi</w:t>
      </w:r>
      <w:r>
        <w:rPr>
          <w:spacing w:val="-3"/>
        </w:rPr>
        <w:t> </w:t>
      </w:r>
      <w:r>
        <w:rPr/>
        <w:t>lapangan</w:t>
      </w:r>
      <w:r>
        <w:rPr>
          <w:spacing w:val="-2"/>
        </w:rPr>
        <w:t> </w:t>
      </w:r>
      <w:r>
        <w:rPr/>
        <w:t>dan </w:t>
      </w:r>
      <w:r>
        <w:rPr>
          <w:i/>
        </w:rPr>
        <w:t>expert</w:t>
      </w:r>
      <w:r>
        <w:rPr>
          <w:i/>
          <w:spacing w:val="-3"/>
        </w:rPr>
        <w:t> </w:t>
      </w:r>
      <w:r>
        <w:rPr>
          <w:i/>
        </w:rPr>
        <w:t>judgement</w:t>
      </w:r>
      <w:r>
        <w:rPr/>
        <w:t>.</w:t>
      </w:r>
      <w:r>
        <w:rPr>
          <w:spacing w:val="-2"/>
        </w:rPr>
        <w:t> </w:t>
      </w:r>
      <w:r>
        <w:rPr/>
        <w:t>Observasi</w:t>
      </w:r>
      <w:r>
        <w:rPr>
          <w:spacing w:val="-3"/>
        </w:rPr>
        <w:t> </w:t>
      </w:r>
      <w:r>
        <w:rPr/>
        <w:t>lapangan</w:t>
      </w:r>
      <w:r>
        <w:rPr>
          <w:spacing w:val="-7"/>
        </w:rPr>
        <w:t> </w:t>
      </w:r>
      <w:r>
        <w:rPr/>
        <w:t>dilakukan</w:t>
      </w:r>
      <w:r>
        <w:rPr>
          <w:spacing w:val="-2"/>
        </w:rPr>
        <w:t> </w:t>
      </w:r>
      <w:r>
        <w:rPr/>
        <w:t>untuk</w:t>
      </w:r>
      <w:r>
        <w:rPr>
          <w:spacing w:val="-2"/>
        </w:rPr>
        <w:t> </w:t>
      </w:r>
      <w:r>
        <w:rPr/>
        <w:t>meninjau</w:t>
      </w:r>
      <w:r>
        <w:rPr>
          <w:spacing w:val="-2"/>
        </w:rPr>
        <w:t> </w:t>
      </w:r>
      <w:r>
        <w:rPr/>
        <w:t>secara</w:t>
      </w:r>
      <w:r>
        <w:rPr>
          <w:spacing w:val="-1"/>
        </w:rPr>
        <w:t> </w:t>
      </w:r>
      <w:r>
        <w:rPr/>
        <w:t>langsung</w:t>
      </w:r>
      <w:r>
        <w:rPr>
          <w:spacing w:val="-2"/>
        </w:rPr>
        <w:t> </w:t>
      </w:r>
      <w:r>
        <w:rPr/>
        <w:t>kondisi aktual bahaya serta ketersediaan instalasi sistem proteksi kebakaran. Selanjutnya, untuk menentukan nilai </w:t>
      </w:r>
      <w:r>
        <w:rPr>
          <w:i/>
        </w:rPr>
        <w:t>probability </w:t>
      </w:r>
      <w:r>
        <w:rPr/>
        <w:t>dan </w:t>
      </w:r>
      <w:r>
        <w:rPr>
          <w:i/>
        </w:rPr>
        <w:t>likelihood </w:t>
      </w:r>
      <w:r>
        <w:rPr/>
        <w:t>dari setiap skenario kebakaran berdasarkan hasil diskusi dan validasi bersama tiga </w:t>
      </w:r>
      <w:r>
        <w:rPr>
          <w:i/>
        </w:rPr>
        <w:t>experts </w:t>
      </w:r>
      <w:r>
        <w:rPr/>
        <w:t>dari pihak perusahaan. Integrasi antara temuan lapangan dan penilaian empiris dari ketiga </w:t>
      </w:r>
      <w:r>
        <w:rPr>
          <w:i/>
        </w:rPr>
        <w:t>experts </w:t>
      </w:r>
      <w:r>
        <w:rPr/>
        <w:t>ini memberikan</w:t>
      </w:r>
      <w:r>
        <w:rPr>
          <w:spacing w:val="-10"/>
        </w:rPr>
        <w:t> </w:t>
      </w:r>
      <w:r>
        <w:rPr/>
        <w:t>landasan</w:t>
      </w:r>
      <w:r>
        <w:rPr>
          <w:spacing w:val="-10"/>
        </w:rPr>
        <w:t> </w:t>
      </w:r>
      <w:r>
        <w:rPr/>
        <w:t>yang</w:t>
      </w:r>
      <w:r>
        <w:rPr>
          <w:spacing w:val="-10"/>
        </w:rPr>
        <w:t> </w:t>
      </w:r>
      <w:r>
        <w:rPr/>
        <w:t>kuat</w:t>
      </w:r>
      <w:r>
        <w:rPr>
          <w:spacing w:val="-11"/>
        </w:rPr>
        <w:t> </w:t>
      </w:r>
      <w:r>
        <w:rPr/>
        <w:t>dan</w:t>
      </w:r>
      <w:r>
        <w:rPr>
          <w:spacing w:val="-10"/>
        </w:rPr>
        <w:t> </w:t>
      </w:r>
      <w:r>
        <w:rPr/>
        <w:t>objektif</w:t>
      </w:r>
      <w:r>
        <w:rPr>
          <w:spacing w:val="-8"/>
        </w:rPr>
        <w:t> </w:t>
      </w:r>
      <w:r>
        <w:rPr/>
        <w:t>dalam</w:t>
      </w:r>
      <w:r>
        <w:rPr>
          <w:spacing w:val="-11"/>
        </w:rPr>
        <w:t> </w:t>
      </w:r>
      <w:r>
        <w:rPr/>
        <w:t>memetakan</w:t>
      </w:r>
      <w:r>
        <w:rPr>
          <w:spacing w:val="-5"/>
        </w:rPr>
        <w:t> </w:t>
      </w:r>
      <w:r>
        <w:rPr/>
        <w:t>tingkat</w:t>
      </w:r>
      <w:r>
        <w:rPr>
          <w:spacing w:val="-11"/>
        </w:rPr>
        <w:t> </w:t>
      </w:r>
      <w:r>
        <w:rPr/>
        <w:t>risiko</w:t>
      </w:r>
      <w:r>
        <w:rPr>
          <w:spacing w:val="-10"/>
        </w:rPr>
        <w:t> </w:t>
      </w:r>
      <w:r>
        <w:rPr/>
        <w:t>kebakaran</w:t>
      </w:r>
      <w:r>
        <w:rPr>
          <w:spacing w:val="-10"/>
        </w:rPr>
        <w:t> </w:t>
      </w:r>
      <w:r>
        <w:rPr/>
        <w:t>pada</w:t>
      </w:r>
      <w:r>
        <w:rPr>
          <w:spacing w:val="-9"/>
        </w:rPr>
        <w:t> </w:t>
      </w:r>
      <w:r>
        <w:rPr/>
        <w:t>masing-masing</w:t>
      </w:r>
      <w:r>
        <w:rPr>
          <w:spacing w:val="-10"/>
        </w:rPr>
        <w:t> </w:t>
      </w:r>
      <w:r>
        <w:rPr/>
        <w:t>area </w:t>
      </w:r>
      <w:r>
        <w:rPr>
          <w:spacing w:val="-2"/>
        </w:rPr>
        <w:t>operasional.</w:t>
      </w:r>
    </w:p>
    <w:p>
      <w:pPr>
        <w:spacing w:before="1" w:after="2"/>
        <w:ind w:left="141" w:right="0" w:firstLine="0"/>
        <w:jc w:val="both"/>
        <w:rPr>
          <w:i/>
          <w:sz w:val="20"/>
        </w:rPr>
      </w:pPr>
      <w:r>
        <w:rPr>
          <w:b/>
          <w:sz w:val="20"/>
        </w:rPr>
        <w:t>Tabel</w:t>
      </w:r>
      <w:r>
        <w:rPr>
          <w:b/>
          <w:spacing w:val="-2"/>
          <w:sz w:val="20"/>
        </w:rPr>
        <w:t> </w:t>
      </w:r>
      <w:r>
        <w:rPr>
          <w:b/>
          <w:sz w:val="20"/>
        </w:rPr>
        <w:t>5.</w:t>
      </w:r>
      <w:r>
        <w:rPr>
          <w:b/>
          <w:spacing w:val="-1"/>
          <w:sz w:val="20"/>
        </w:rPr>
        <w:t> </w:t>
      </w:r>
      <w:r>
        <w:rPr>
          <w:sz w:val="20"/>
        </w:rPr>
        <w:t>Hasil</w:t>
      </w:r>
      <w:r>
        <w:rPr>
          <w:spacing w:val="-1"/>
          <w:sz w:val="20"/>
        </w:rPr>
        <w:t> </w:t>
      </w:r>
      <w:r>
        <w:rPr>
          <w:i/>
          <w:sz w:val="20"/>
        </w:rPr>
        <w:t>Fire Risk </w:t>
      </w:r>
      <w:r>
        <w:rPr>
          <w:i/>
          <w:spacing w:val="-2"/>
          <w:sz w:val="20"/>
        </w:rPr>
        <w:t>Assessment</w:t>
      </w: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5"/>
        <w:gridCol w:w="1550"/>
        <w:gridCol w:w="980"/>
        <w:gridCol w:w="885"/>
        <w:gridCol w:w="749"/>
        <w:gridCol w:w="919"/>
        <w:gridCol w:w="979"/>
        <w:gridCol w:w="879"/>
        <w:gridCol w:w="769"/>
        <w:gridCol w:w="920"/>
      </w:tblGrid>
      <w:tr>
        <w:trPr>
          <w:trHeight w:val="370" w:hRule="atLeast"/>
        </w:trPr>
        <w:tc>
          <w:tcPr>
            <w:tcW w:w="475" w:type="dxa"/>
            <w:vMerge w:val="restart"/>
          </w:tcPr>
          <w:p>
            <w:pPr>
              <w:pStyle w:val="TableParagraph"/>
              <w:spacing w:before="113"/>
              <w:ind w:left="12"/>
              <w:jc w:val="center"/>
              <w:rPr>
                <w:i/>
                <w:sz w:val="20"/>
              </w:rPr>
            </w:pPr>
            <w:r>
              <w:rPr>
                <w:i/>
                <w:spacing w:val="-5"/>
                <w:sz w:val="20"/>
              </w:rPr>
              <w:t>No</w:t>
            </w:r>
          </w:p>
          <w:p>
            <w:pPr>
              <w:pStyle w:val="TableParagraph"/>
              <w:ind w:left="12" w:right="6"/>
              <w:jc w:val="center"/>
              <w:rPr>
                <w:i/>
                <w:sz w:val="20"/>
              </w:rPr>
            </w:pPr>
            <w:r>
              <w:rPr>
                <w:i/>
                <w:spacing w:val="-10"/>
                <w:sz w:val="20"/>
              </w:rPr>
              <w:t>.</w:t>
            </w:r>
          </w:p>
        </w:tc>
        <w:tc>
          <w:tcPr>
            <w:tcW w:w="1550" w:type="dxa"/>
            <w:vMerge w:val="restart"/>
          </w:tcPr>
          <w:p>
            <w:pPr>
              <w:pStyle w:val="TableParagraph"/>
              <w:spacing w:before="118"/>
              <w:ind w:left="275"/>
              <w:rPr>
                <w:i/>
                <w:sz w:val="20"/>
              </w:rPr>
            </w:pPr>
            <w:r>
              <w:rPr>
                <w:i/>
                <w:sz w:val="20"/>
              </w:rPr>
              <w:t>Fire</w:t>
            </w:r>
            <w:r>
              <w:rPr>
                <w:i/>
                <w:spacing w:val="-2"/>
                <w:sz w:val="20"/>
              </w:rPr>
              <w:t> Hazard</w:t>
            </w:r>
          </w:p>
        </w:tc>
        <w:tc>
          <w:tcPr>
            <w:tcW w:w="980" w:type="dxa"/>
            <w:vMerge w:val="restart"/>
          </w:tcPr>
          <w:p>
            <w:pPr>
              <w:pStyle w:val="TableParagraph"/>
              <w:spacing w:before="113"/>
              <w:ind w:left="26" w:right="97"/>
              <w:jc w:val="center"/>
              <w:rPr>
                <w:i/>
                <w:sz w:val="20"/>
              </w:rPr>
            </w:pPr>
            <w:r>
              <w:rPr>
                <w:i/>
                <w:spacing w:val="-2"/>
                <w:sz w:val="20"/>
              </w:rPr>
              <w:t>Existing </w:t>
            </w:r>
            <w:r>
              <w:rPr>
                <w:i/>
                <w:spacing w:val="-4"/>
                <w:sz w:val="20"/>
              </w:rPr>
              <w:t>Fire </w:t>
            </w:r>
            <w:r>
              <w:rPr>
                <w:i/>
                <w:spacing w:val="-2"/>
                <w:sz w:val="20"/>
              </w:rPr>
              <w:t>Protection</w:t>
            </w:r>
          </w:p>
        </w:tc>
        <w:tc>
          <w:tcPr>
            <w:tcW w:w="2553" w:type="dxa"/>
            <w:gridSpan w:val="3"/>
          </w:tcPr>
          <w:p>
            <w:pPr>
              <w:pStyle w:val="TableParagraph"/>
              <w:spacing w:before="118"/>
              <w:ind w:left="541"/>
              <w:rPr>
                <w:i/>
                <w:sz w:val="20"/>
              </w:rPr>
            </w:pPr>
            <w:r>
              <w:rPr>
                <w:i/>
                <w:sz w:val="20"/>
              </w:rPr>
              <w:t>Inherent</w:t>
            </w:r>
            <w:r>
              <w:rPr>
                <w:i/>
                <w:spacing w:val="-2"/>
                <w:sz w:val="20"/>
              </w:rPr>
              <w:t> </w:t>
            </w:r>
            <w:r>
              <w:rPr>
                <w:i/>
                <w:sz w:val="20"/>
              </w:rPr>
              <w:t>Fire </w:t>
            </w:r>
            <w:r>
              <w:rPr>
                <w:i/>
                <w:spacing w:val="-4"/>
                <w:sz w:val="20"/>
              </w:rPr>
              <w:t>Risk</w:t>
            </w:r>
          </w:p>
        </w:tc>
        <w:tc>
          <w:tcPr>
            <w:tcW w:w="979" w:type="dxa"/>
            <w:vMerge w:val="restart"/>
          </w:tcPr>
          <w:p>
            <w:pPr>
              <w:pStyle w:val="TableParagraph"/>
              <w:spacing w:before="113"/>
              <w:ind w:left="114" w:right="108"/>
              <w:jc w:val="center"/>
              <w:rPr>
                <w:i/>
                <w:sz w:val="20"/>
              </w:rPr>
            </w:pPr>
            <w:r>
              <w:rPr>
                <w:i/>
                <w:spacing w:val="-2"/>
                <w:sz w:val="20"/>
              </w:rPr>
              <w:t>Addition </w:t>
            </w:r>
            <w:r>
              <w:rPr>
                <w:i/>
                <w:sz w:val="20"/>
              </w:rPr>
              <w:t>al Fire </w:t>
            </w:r>
            <w:r>
              <w:rPr>
                <w:i/>
                <w:spacing w:val="-2"/>
                <w:sz w:val="20"/>
              </w:rPr>
              <w:t>Protectio </w:t>
            </w:r>
            <w:r>
              <w:rPr>
                <w:i/>
                <w:spacing w:val="-10"/>
                <w:sz w:val="20"/>
              </w:rPr>
              <w:t>n</w:t>
            </w:r>
          </w:p>
        </w:tc>
        <w:tc>
          <w:tcPr>
            <w:tcW w:w="2568" w:type="dxa"/>
            <w:gridSpan w:val="3"/>
          </w:tcPr>
          <w:p>
            <w:pPr>
              <w:pStyle w:val="TableParagraph"/>
              <w:spacing w:before="118"/>
              <w:ind w:left="540"/>
              <w:rPr>
                <w:i/>
                <w:sz w:val="20"/>
              </w:rPr>
            </w:pPr>
            <w:r>
              <w:rPr>
                <w:i/>
                <w:sz w:val="20"/>
              </w:rPr>
              <w:t>Residual</w:t>
            </w:r>
            <w:r>
              <w:rPr>
                <w:i/>
                <w:spacing w:val="-6"/>
                <w:sz w:val="20"/>
              </w:rPr>
              <w:t> </w:t>
            </w:r>
            <w:r>
              <w:rPr>
                <w:i/>
                <w:sz w:val="20"/>
              </w:rPr>
              <w:t>Fire</w:t>
            </w:r>
            <w:r>
              <w:rPr>
                <w:i/>
                <w:spacing w:val="-1"/>
                <w:sz w:val="20"/>
              </w:rPr>
              <w:t> </w:t>
            </w:r>
            <w:r>
              <w:rPr>
                <w:i/>
                <w:spacing w:val="-4"/>
                <w:sz w:val="20"/>
              </w:rPr>
              <w:t>Risk</w:t>
            </w:r>
          </w:p>
        </w:tc>
      </w:tr>
      <w:tr>
        <w:trPr>
          <w:trHeight w:val="680" w:hRule="atLeast"/>
        </w:trPr>
        <w:tc>
          <w:tcPr>
            <w:tcW w:w="475" w:type="dxa"/>
            <w:vMerge/>
            <w:tcBorders>
              <w:top w:val="nil"/>
            </w:tcBorders>
          </w:tcPr>
          <w:p>
            <w:pPr>
              <w:rPr>
                <w:sz w:val="2"/>
                <w:szCs w:val="2"/>
              </w:rPr>
            </w:pPr>
          </w:p>
        </w:tc>
        <w:tc>
          <w:tcPr>
            <w:tcW w:w="1550" w:type="dxa"/>
            <w:vMerge/>
            <w:tcBorders>
              <w:top w:val="nil"/>
            </w:tcBorders>
          </w:tcPr>
          <w:p>
            <w:pPr>
              <w:rPr>
                <w:sz w:val="2"/>
                <w:szCs w:val="2"/>
              </w:rPr>
            </w:pPr>
          </w:p>
        </w:tc>
        <w:tc>
          <w:tcPr>
            <w:tcW w:w="980" w:type="dxa"/>
            <w:vMerge/>
            <w:tcBorders>
              <w:top w:val="nil"/>
            </w:tcBorders>
          </w:tcPr>
          <w:p>
            <w:pPr>
              <w:rPr>
                <w:sz w:val="2"/>
                <w:szCs w:val="2"/>
              </w:rPr>
            </w:pPr>
          </w:p>
        </w:tc>
        <w:tc>
          <w:tcPr>
            <w:tcW w:w="885" w:type="dxa"/>
          </w:tcPr>
          <w:p>
            <w:pPr>
              <w:pStyle w:val="TableParagraph"/>
              <w:spacing w:before="118"/>
              <w:ind w:left="9"/>
              <w:jc w:val="center"/>
              <w:rPr>
                <w:i/>
                <w:sz w:val="20"/>
              </w:rPr>
            </w:pPr>
            <w:r>
              <w:rPr>
                <w:i/>
                <w:spacing w:val="-10"/>
                <w:sz w:val="20"/>
              </w:rPr>
              <w:t>L</w:t>
            </w:r>
          </w:p>
        </w:tc>
        <w:tc>
          <w:tcPr>
            <w:tcW w:w="749" w:type="dxa"/>
          </w:tcPr>
          <w:p>
            <w:pPr>
              <w:pStyle w:val="TableParagraph"/>
              <w:spacing w:before="118"/>
              <w:ind w:left="5"/>
              <w:jc w:val="center"/>
              <w:rPr>
                <w:i/>
                <w:sz w:val="20"/>
              </w:rPr>
            </w:pPr>
            <w:r>
              <w:rPr>
                <w:i/>
                <w:spacing w:val="-10"/>
                <w:sz w:val="20"/>
              </w:rPr>
              <w:t>S</w:t>
            </w:r>
          </w:p>
        </w:tc>
        <w:tc>
          <w:tcPr>
            <w:tcW w:w="919" w:type="dxa"/>
          </w:tcPr>
          <w:p>
            <w:pPr>
              <w:pStyle w:val="TableParagraph"/>
              <w:spacing w:before="118"/>
              <w:ind w:left="33" w:right="32"/>
              <w:jc w:val="center"/>
              <w:rPr>
                <w:i/>
                <w:sz w:val="20"/>
              </w:rPr>
            </w:pPr>
            <w:r>
              <w:rPr>
                <w:i/>
                <w:spacing w:val="-4"/>
                <w:sz w:val="20"/>
              </w:rPr>
              <w:t>Risk</w:t>
            </w:r>
          </w:p>
        </w:tc>
        <w:tc>
          <w:tcPr>
            <w:tcW w:w="979" w:type="dxa"/>
            <w:vMerge/>
            <w:tcBorders>
              <w:top w:val="nil"/>
            </w:tcBorders>
          </w:tcPr>
          <w:p>
            <w:pPr>
              <w:rPr>
                <w:sz w:val="2"/>
                <w:szCs w:val="2"/>
              </w:rPr>
            </w:pPr>
          </w:p>
        </w:tc>
        <w:tc>
          <w:tcPr>
            <w:tcW w:w="879" w:type="dxa"/>
          </w:tcPr>
          <w:p>
            <w:pPr>
              <w:pStyle w:val="TableParagraph"/>
              <w:spacing w:before="118"/>
              <w:ind w:left="17" w:right="3"/>
              <w:jc w:val="center"/>
              <w:rPr>
                <w:i/>
                <w:sz w:val="20"/>
              </w:rPr>
            </w:pPr>
            <w:r>
              <w:rPr>
                <w:i/>
                <w:spacing w:val="-10"/>
                <w:sz w:val="20"/>
              </w:rPr>
              <w:t>L</w:t>
            </w:r>
          </w:p>
        </w:tc>
        <w:tc>
          <w:tcPr>
            <w:tcW w:w="769" w:type="dxa"/>
          </w:tcPr>
          <w:p>
            <w:pPr>
              <w:pStyle w:val="TableParagraph"/>
              <w:spacing w:before="118"/>
              <w:ind w:left="33" w:right="17"/>
              <w:jc w:val="center"/>
              <w:rPr>
                <w:i/>
                <w:sz w:val="20"/>
              </w:rPr>
            </w:pPr>
            <w:r>
              <w:rPr>
                <w:i/>
                <w:spacing w:val="-10"/>
                <w:sz w:val="20"/>
              </w:rPr>
              <w:t>S</w:t>
            </w:r>
          </w:p>
        </w:tc>
        <w:tc>
          <w:tcPr>
            <w:tcW w:w="920" w:type="dxa"/>
          </w:tcPr>
          <w:p>
            <w:pPr>
              <w:pStyle w:val="TableParagraph"/>
              <w:spacing w:before="118"/>
              <w:ind w:left="113"/>
              <w:rPr>
                <w:i/>
                <w:sz w:val="20"/>
              </w:rPr>
            </w:pPr>
            <w:r>
              <w:rPr>
                <w:i/>
                <w:spacing w:val="-4"/>
                <w:sz w:val="20"/>
              </w:rPr>
              <w:t>Risk</w:t>
            </w:r>
          </w:p>
        </w:tc>
      </w:tr>
      <w:tr>
        <w:trPr>
          <w:trHeight w:val="1290" w:hRule="atLeast"/>
        </w:trPr>
        <w:tc>
          <w:tcPr>
            <w:tcW w:w="475" w:type="dxa"/>
          </w:tcPr>
          <w:p>
            <w:pPr>
              <w:pStyle w:val="TableParagraph"/>
              <w:spacing w:before="118"/>
              <w:ind w:left="12" w:right="6"/>
              <w:jc w:val="center"/>
              <w:rPr>
                <w:sz w:val="20"/>
              </w:rPr>
            </w:pPr>
            <w:r>
              <w:rPr>
                <w:spacing w:val="-5"/>
                <w:sz w:val="20"/>
              </w:rPr>
              <w:t>1.</w:t>
            </w:r>
          </w:p>
        </w:tc>
        <w:tc>
          <w:tcPr>
            <w:tcW w:w="1550" w:type="dxa"/>
          </w:tcPr>
          <w:p>
            <w:pPr>
              <w:pStyle w:val="TableParagraph"/>
              <w:spacing w:before="118"/>
              <w:ind w:left="110" w:right="14"/>
              <w:rPr>
                <w:i/>
                <w:sz w:val="20"/>
              </w:rPr>
            </w:pPr>
            <w:r>
              <w:rPr>
                <w:sz w:val="20"/>
              </w:rPr>
              <w:t>Gesekan</w:t>
            </w:r>
            <w:r>
              <w:rPr>
                <w:spacing w:val="-13"/>
                <w:sz w:val="20"/>
              </w:rPr>
              <w:t> </w:t>
            </w:r>
            <w:r>
              <w:rPr>
                <w:sz w:val="20"/>
              </w:rPr>
              <w:t>muatan listrik statis saat </w:t>
            </w:r>
            <w:r>
              <w:rPr>
                <w:spacing w:val="-2"/>
                <w:sz w:val="20"/>
              </w:rPr>
              <w:t>proses </w:t>
            </w:r>
            <w:r>
              <w:rPr>
                <w:i/>
                <w:spacing w:val="-2"/>
                <w:sz w:val="20"/>
              </w:rPr>
              <w:t>loading/unloadi </w:t>
            </w:r>
            <w:r>
              <w:rPr>
                <w:i/>
                <w:spacing w:val="-6"/>
                <w:sz w:val="20"/>
              </w:rPr>
              <w:t>ng</w:t>
            </w:r>
          </w:p>
        </w:tc>
        <w:tc>
          <w:tcPr>
            <w:tcW w:w="980" w:type="dxa"/>
          </w:tcPr>
          <w:p>
            <w:pPr>
              <w:pStyle w:val="TableParagraph"/>
              <w:spacing w:before="118"/>
              <w:rPr>
                <w:i/>
                <w:sz w:val="20"/>
              </w:rPr>
            </w:pPr>
          </w:p>
          <w:p>
            <w:pPr>
              <w:pStyle w:val="TableParagraph"/>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rPr>
                <w:i/>
                <w:sz w:val="20"/>
              </w:rPr>
            </w:pPr>
          </w:p>
          <w:p>
            <w:pPr>
              <w:pStyle w:val="TableParagraph"/>
              <w:spacing w:before="118"/>
              <w:rPr>
                <w:i/>
                <w:sz w:val="20"/>
              </w:rPr>
            </w:pPr>
          </w:p>
          <w:p>
            <w:pPr>
              <w:pStyle w:val="TableParagraph"/>
              <w:ind w:left="12"/>
              <w:jc w:val="center"/>
              <w:rPr>
                <w:sz w:val="20"/>
              </w:rPr>
            </w:pPr>
            <w:r>
              <w:rPr>
                <w:spacing w:val="-2"/>
                <w:sz w:val="20"/>
              </w:rPr>
              <w:t>Jarang</w:t>
            </w:r>
          </w:p>
        </w:tc>
        <w:tc>
          <w:tcPr>
            <w:tcW w:w="749" w:type="dxa"/>
          </w:tcPr>
          <w:p>
            <w:pPr>
              <w:pStyle w:val="TableParagraph"/>
              <w:rPr>
                <w:i/>
                <w:sz w:val="20"/>
              </w:rPr>
            </w:pPr>
          </w:p>
          <w:p>
            <w:pPr>
              <w:pStyle w:val="TableParagraph"/>
              <w:spacing w:before="118"/>
              <w:rPr>
                <w:i/>
                <w:sz w:val="20"/>
              </w:rPr>
            </w:pPr>
          </w:p>
          <w:p>
            <w:pPr>
              <w:pStyle w:val="TableParagraph"/>
              <w:ind w:left="5" w:right="68"/>
              <w:jc w:val="center"/>
              <w:rPr>
                <w:sz w:val="20"/>
              </w:rPr>
            </w:pPr>
            <w:r>
              <w:rPr>
                <w:spacing w:val="-2"/>
                <w:sz w:val="20"/>
              </w:rPr>
              <w:t>Sedang</w:t>
            </w:r>
          </w:p>
        </w:tc>
        <w:tc>
          <w:tcPr>
            <w:tcW w:w="919" w:type="dxa"/>
            <w:shd w:val="clear" w:color="auto" w:fill="BEBEBE"/>
          </w:tcPr>
          <w:p>
            <w:pPr>
              <w:pStyle w:val="TableParagraph"/>
              <w:rPr>
                <w:i/>
                <w:sz w:val="20"/>
              </w:rPr>
            </w:pPr>
          </w:p>
          <w:p>
            <w:pPr>
              <w:pStyle w:val="TableParagraph"/>
              <w:spacing w:before="3"/>
              <w:rPr>
                <w:i/>
                <w:sz w:val="20"/>
              </w:rPr>
            </w:pPr>
          </w:p>
          <w:p>
            <w:pPr>
              <w:pStyle w:val="TableParagraph"/>
              <w:ind w:left="63" w:firstLine="100"/>
              <w:rPr>
                <w:i/>
                <w:sz w:val="20"/>
              </w:rPr>
            </w:pPr>
            <w:r>
              <w:rPr>
                <w:i/>
                <w:sz w:val="20"/>
              </w:rPr>
              <w:t>Low to </w:t>
            </w:r>
            <w:r>
              <w:rPr>
                <w:i/>
                <w:spacing w:val="-2"/>
                <w:sz w:val="20"/>
              </w:rPr>
              <w:t>moderate</w:t>
            </w:r>
          </w:p>
        </w:tc>
        <w:tc>
          <w:tcPr>
            <w:tcW w:w="979" w:type="dxa"/>
          </w:tcPr>
          <w:p>
            <w:pPr>
              <w:pStyle w:val="TableParagraph"/>
              <w:spacing w:before="118"/>
              <w:rPr>
                <w:i/>
                <w:sz w:val="20"/>
              </w:rPr>
            </w:pPr>
          </w:p>
          <w:p>
            <w:pPr>
              <w:pStyle w:val="TableParagraph"/>
              <w:ind w:left="219" w:right="208" w:firstLine="25"/>
              <w:jc w:val="both"/>
              <w:rPr>
                <w:i/>
                <w:sz w:val="20"/>
              </w:rPr>
            </w:pPr>
            <w:r>
              <w:rPr>
                <w:i/>
                <w:spacing w:val="-2"/>
                <w:sz w:val="20"/>
              </w:rPr>
              <w:t>Water spray system</w:t>
            </w:r>
          </w:p>
        </w:tc>
        <w:tc>
          <w:tcPr>
            <w:tcW w:w="879" w:type="dxa"/>
          </w:tcPr>
          <w:p>
            <w:pPr>
              <w:pStyle w:val="TableParagraph"/>
              <w:rPr>
                <w:i/>
                <w:sz w:val="20"/>
              </w:rPr>
            </w:pPr>
          </w:p>
          <w:p>
            <w:pPr>
              <w:pStyle w:val="TableParagraph"/>
              <w:spacing w:before="118"/>
              <w:rPr>
                <w:i/>
                <w:sz w:val="20"/>
              </w:rPr>
            </w:pPr>
          </w:p>
          <w:p>
            <w:pPr>
              <w:pStyle w:val="TableParagraph"/>
              <w:ind w:left="17"/>
              <w:jc w:val="center"/>
              <w:rPr>
                <w:sz w:val="20"/>
              </w:rPr>
            </w:pPr>
            <w:r>
              <w:rPr>
                <w:spacing w:val="-2"/>
                <w:sz w:val="20"/>
              </w:rPr>
              <w:t>Jarang</w:t>
            </w:r>
          </w:p>
        </w:tc>
        <w:tc>
          <w:tcPr>
            <w:tcW w:w="769" w:type="dxa"/>
          </w:tcPr>
          <w:p>
            <w:pPr>
              <w:pStyle w:val="TableParagraph"/>
              <w:rPr>
                <w:i/>
                <w:sz w:val="20"/>
              </w:rPr>
            </w:pPr>
          </w:p>
          <w:p>
            <w:pPr>
              <w:pStyle w:val="TableParagraph"/>
              <w:spacing w:before="118"/>
              <w:rPr>
                <w:i/>
                <w:sz w:val="20"/>
              </w:rPr>
            </w:pPr>
          </w:p>
          <w:p>
            <w:pPr>
              <w:pStyle w:val="TableParagraph"/>
              <w:ind w:left="16" w:right="33"/>
              <w:jc w:val="center"/>
              <w:rPr>
                <w:sz w:val="20"/>
              </w:rPr>
            </w:pPr>
            <w:r>
              <w:rPr>
                <w:spacing w:val="-2"/>
                <w:sz w:val="20"/>
              </w:rPr>
              <w:t>Rendah</w:t>
            </w:r>
          </w:p>
        </w:tc>
        <w:tc>
          <w:tcPr>
            <w:tcW w:w="920" w:type="dxa"/>
            <w:shd w:val="clear" w:color="auto" w:fill="BEBEBE"/>
          </w:tcPr>
          <w:p>
            <w:pPr>
              <w:pStyle w:val="TableParagraph"/>
              <w:rPr>
                <w:i/>
                <w:sz w:val="20"/>
              </w:rPr>
            </w:pPr>
          </w:p>
          <w:p>
            <w:pPr>
              <w:pStyle w:val="TableParagraph"/>
              <w:spacing w:before="3"/>
              <w:rPr>
                <w:i/>
                <w:sz w:val="20"/>
              </w:rPr>
            </w:pPr>
          </w:p>
          <w:p>
            <w:pPr>
              <w:pStyle w:val="TableParagraph"/>
              <w:ind w:left="79" w:firstLine="99"/>
              <w:rPr>
                <w:i/>
                <w:sz w:val="20"/>
              </w:rPr>
            </w:pPr>
            <w:r>
              <w:rPr>
                <w:i/>
                <w:sz w:val="20"/>
              </w:rPr>
              <w:t>Low to </w:t>
            </w:r>
            <w:r>
              <w:rPr>
                <w:i/>
                <w:spacing w:val="-2"/>
                <w:sz w:val="20"/>
              </w:rPr>
              <w:t>moderate</w:t>
            </w:r>
          </w:p>
        </w:tc>
      </w:tr>
      <w:tr>
        <w:trPr>
          <w:trHeight w:val="830" w:hRule="atLeast"/>
        </w:trPr>
        <w:tc>
          <w:tcPr>
            <w:tcW w:w="475" w:type="dxa"/>
          </w:tcPr>
          <w:p>
            <w:pPr>
              <w:pStyle w:val="TableParagraph"/>
              <w:spacing w:before="118"/>
              <w:ind w:left="12" w:right="6"/>
              <w:jc w:val="center"/>
              <w:rPr>
                <w:sz w:val="20"/>
              </w:rPr>
            </w:pPr>
            <w:r>
              <w:rPr>
                <w:spacing w:val="-5"/>
                <w:sz w:val="20"/>
              </w:rPr>
              <w:t>2.</w:t>
            </w:r>
          </w:p>
        </w:tc>
        <w:tc>
          <w:tcPr>
            <w:tcW w:w="1550" w:type="dxa"/>
          </w:tcPr>
          <w:p>
            <w:pPr>
              <w:pStyle w:val="TableParagraph"/>
              <w:spacing w:before="118"/>
              <w:ind w:left="110" w:right="92"/>
              <w:jc w:val="both"/>
              <w:rPr>
                <w:sz w:val="20"/>
              </w:rPr>
            </w:pPr>
            <w:r>
              <w:rPr>
                <w:sz w:val="20"/>
              </w:rPr>
              <w:t>Sambaran petir pada </w:t>
            </w:r>
            <w:r>
              <w:rPr>
                <w:sz w:val="20"/>
              </w:rPr>
              <w:t>tangki </w:t>
            </w:r>
            <w:r>
              <w:rPr>
                <w:spacing w:val="-2"/>
                <w:sz w:val="20"/>
              </w:rPr>
              <w:t>penyimpanan</w:t>
            </w:r>
          </w:p>
        </w:tc>
        <w:tc>
          <w:tcPr>
            <w:tcW w:w="980" w:type="dxa"/>
          </w:tcPr>
          <w:p>
            <w:pPr>
              <w:pStyle w:val="TableParagraph"/>
              <w:spacing w:before="118"/>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spacing w:before="118"/>
              <w:rPr>
                <w:i/>
                <w:sz w:val="20"/>
              </w:rPr>
            </w:pPr>
          </w:p>
          <w:p>
            <w:pPr>
              <w:pStyle w:val="TableParagraph"/>
              <w:ind w:left="12" w:right="56"/>
              <w:jc w:val="center"/>
              <w:rPr>
                <w:sz w:val="20"/>
              </w:rPr>
            </w:pPr>
            <w:r>
              <w:rPr>
                <w:spacing w:val="-2"/>
                <w:sz w:val="20"/>
              </w:rPr>
              <w:t>Mungkin</w:t>
            </w:r>
          </w:p>
        </w:tc>
        <w:tc>
          <w:tcPr>
            <w:tcW w:w="749" w:type="dxa"/>
          </w:tcPr>
          <w:p>
            <w:pPr>
              <w:pStyle w:val="TableParagraph"/>
              <w:spacing w:before="118"/>
              <w:rPr>
                <w:i/>
                <w:sz w:val="20"/>
              </w:rPr>
            </w:pPr>
          </w:p>
          <w:p>
            <w:pPr>
              <w:pStyle w:val="TableParagraph"/>
              <w:ind w:left="64"/>
              <w:jc w:val="center"/>
              <w:rPr>
                <w:sz w:val="20"/>
              </w:rPr>
            </w:pPr>
            <w:r>
              <w:rPr>
                <w:spacing w:val="-2"/>
                <w:sz w:val="20"/>
              </w:rPr>
              <w:t>Sedang</w:t>
            </w:r>
          </w:p>
        </w:tc>
        <w:tc>
          <w:tcPr>
            <w:tcW w:w="919" w:type="dxa"/>
            <w:shd w:val="clear" w:color="auto" w:fill="A6A6A6"/>
          </w:tcPr>
          <w:p>
            <w:pPr>
              <w:pStyle w:val="TableParagraph"/>
              <w:spacing w:before="118"/>
              <w:rPr>
                <w:i/>
                <w:sz w:val="20"/>
              </w:rPr>
            </w:pPr>
          </w:p>
          <w:p>
            <w:pPr>
              <w:pStyle w:val="TableParagraph"/>
              <w:ind w:left="1" w:right="33"/>
              <w:jc w:val="center"/>
              <w:rPr>
                <w:i/>
                <w:sz w:val="20"/>
              </w:rPr>
            </w:pPr>
            <w:r>
              <w:rPr>
                <w:i/>
                <w:spacing w:val="-2"/>
                <w:sz w:val="20"/>
              </w:rPr>
              <w:t>Moderate</w:t>
            </w:r>
          </w:p>
        </w:tc>
        <w:tc>
          <w:tcPr>
            <w:tcW w:w="979" w:type="dxa"/>
          </w:tcPr>
          <w:p>
            <w:pPr>
              <w:pStyle w:val="TableParagraph"/>
              <w:spacing w:before="118"/>
              <w:ind w:left="219" w:right="208" w:firstLine="25"/>
              <w:jc w:val="both"/>
              <w:rPr>
                <w:i/>
                <w:sz w:val="20"/>
              </w:rPr>
            </w:pPr>
            <w:r>
              <w:rPr>
                <w:i/>
                <w:spacing w:val="-2"/>
                <w:sz w:val="20"/>
              </w:rPr>
              <w:t>Water spray system</w:t>
            </w:r>
          </w:p>
        </w:tc>
        <w:tc>
          <w:tcPr>
            <w:tcW w:w="879" w:type="dxa"/>
          </w:tcPr>
          <w:p>
            <w:pPr>
              <w:pStyle w:val="TableParagraph"/>
              <w:spacing w:before="118"/>
              <w:rPr>
                <w:i/>
                <w:sz w:val="20"/>
              </w:rPr>
            </w:pPr>
          </w:p>
          <w:p>
            <w:pPr>
              <w:pStyle w:val="TableParagraph"/>
              <w:ind w:left="17" w:right="9"/>
              <w:jc w:val="center"/>
              <w:rPr>
                <w:sz w:val="20"/>
              </w:rPr>
            </w:pPr>
            <w:r>
              <w:rPr>
                <w:spacing w:val="-2"/>
                <w:sz w:val="20"/>
              </w:rPr>
              <w:t>Mungkin</w:t>
            </w:r>
          </w:p>
        </w:tc>
        <w:tc>
          <w:tcPr>
            <w:tcW w:w="769" w:type="dxa"/>
          </w:tcPr>
          <w:p>
            <w:pPr>
              <w:pStyle w:val="TableParagraph"/>
              <w:spacing w:before="113"/>
              <w:ind w:left="17" w:right="17"/>
              <w:jc w:val="center"/>
              <w:rPr>
                <w:sz w:val="20"/>
              </w:rPr>
            </w:pPr>
            <w:r>
              <w:rPr>
                <w:spacing w:val="-2"/>
                <w:sz w:val="20"/>
              </w:rPr>
              <w:t>Rendah</w:t>
            </w:r>
          </w:p>
        </w:tc>
        <w:tc>
          <w:tcPr>
            <w:tcW w:w="920" w:type="dxa"/>
            <w:shd w:val="clear" w:color="auto" w:fill="BEBEBE"/>
          </w:tcPr>
          <w:p>
            <w:pPr>
              <w:pStyle w:val="TableParagraph"/>
              <w:spacing w:before="3"/>
              <w:rPr>
                <w:i/>
                <w:sz w:val="20"/>
              </w:rPr>
            </w:pPr>
          </w:p>
          <w:p>
            <w:pPr>
              <w:pStyle w:val="TableParagraph"/>
              <w:ind w:left="79" w:firstLine="99"/>
              <w:rPr>
                <w:i/>
                <w:sz w:val="20"/>
              </w:rPr>
            </w:pPr>
            <w:r>
              <w:rPr>
                <w:i/>
                <w:sz w:val="20"/>
              </w:rPr>
              <w:t>Low to </w:t>
            </w:r>
            <w:r>
              <w:rPr>
                <w:i/>
                <w:spacing w:val="-2"/>
                <w:sz w:val="20"/>
              </w:rPr>
              <w:t>moderate</w:t>
            </w:r>
          </w:p>
        </w:tc>
      </w:tr>
      <w:tr>
        <w:trPr>
          <w:trHeight w:val="1065" w:hRule="atLeast"/>
        </w:trPr>
        <w:tc>
          <w:tcPr>
            <w:tcW w:w="475" w:type="dxa"/>
          </w:tcPr>
          <w:p>
            <w:pPr>
              <w:pStyle w:val="TableParagraph"/>
              <w:spacing w:before="118"/>
              <w:ind w:left="12" w:right="6"/>
              <w:jc w:val="center"/>
              <w:rPr>
                <w:sz w:val="20"/>
              </w:rPr>
            </w:pPr>
            <w:r>
              <w:rPr>
                <w:spacing w:val="-5"/>
                <w:sz w:val="20"/>
              </w:rPr>
              <w:t>3.</w:t>
            </w:r>
          </w:p>
        </w:tc>
        <w:tc>
          <w:tcPr>
            <w:tcW w:w="1550" w:type="dxa"/>
          </w:tcPr>
          <w:p>
            <w:pPr>
              <w:pStyle w:val="TableParagraph"/>
              <w:tabs>
                <w:tab w:pos="954" w:val="left" w:leader="none"/>
              </w:tabs>
              <w:spacing w:before="118"/>
              <w:ind w:left="110" w:right="93"/>
              <w:rPr>
                <w:sz w:val="20"/>
              </w:rPr>
            </w:pPr>
            <w:r>
              <w:rPr>
                <w:spacing w:val="-2"/>
                <w:sz w:val="20"/>
              </w:rPr>
              <w:t>Kebocoran cairan</w:t>
            </w:r>
            <w:r>
              <w:rPr>
                <w:sz w:val="20"/>
              </w:rPr>
              <w:tab/>
            </w:r>
            <w:r>
              <w:rPr>
                <w:spacing w:val="-2"/>
                <w:sz w:val="20"/>
              </w:rPr>
              <w:t>akibat</w:t>
            </w:r>
          </w:p>
          <w:p>
            <w:pPr>
              <w:pStyle w:val="TableParagraph"/>
              <w:tabs>
                <w:tab w:pos="1064" w:val="left" w:leader="none"/>
              </w:tabs>
              <w:ind w:left="110" w:right="94"/>
              <w:rPr>
                <w:sz w:val="20"/>
              </w:rPr>
            </w:pPr>
            <w:r>
              <w:rPr>
                <w:spacing w:val="-2"/>
                <w:sz w:val="20"/>
              </w:rPr>
              <w:t>korosi</w:t>
            </w:r>
            <w:r>
              <w:rPr>
                <w:sz w:val="20"/>
              </w:rPr>
              <w:tab/>
            </w:r>
            <w:r>
              <w:rPr>
                <w:spacing w:val="-4"/>
                <w:sz w:val="20"/>
              </w:rPr>
              <w:t>pada </w:t>
            </w:r>
            <w:r>
              <w:rPr>
                <w:spacing w:val="-2"/>
                <w:sz w:val="20"/>
              </w:rPr>
              <w:t>tangki</w:t>
            </w:r>
          </w:p>
        </w:tc>
        <w:tc>
          <w:tcPr>
            <w:tcW w:w="980" w:type="dxa"/>
          </w:tcPr>
          <w:p>
            <w:pPr>
              <w:pStyle w:val="TableParagraph"/>
              <w:spacing w:before="3"/>
              <w:rPr>
                <w:i/>
                <w:sz w:val="20"/>
              </w:rPr>
            </w:pPr>
          </w:p>
          <w:p>
            <w:pPr>
              <w:pStyle w:val="TableParagraph"/>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rPr>
                <w:i/>
                <w:sz w:val="20"/>
              </w:rPr>
            </w:pPr>
          </w:p>
          <w:p>
            <w:pPr>
              <w:pStyle w:val="TableParagraph"/>
              <w:spacing w:before="3"/>
              <w:rPr>
                <w:i/>
                <w:sz w:val="20"/>
              </w:rPr>
            </w:pPr>
          </w:p>
          <w:p>
            <w:pPr>
              <w:pStyle w:val="TableParagraph"/>
              <w:ind w:left="12"/>
              <w:jc w:val="center"/>
              <w:rPr>
                <w:sz w:val="20"/>
              </w:rPr>
            </w:pPr>
            <w:r>
              <w:rPr>
                <w:spacing w:val="-2"/>
                <w:sz w:val="20"/>
              </w:rPr>
              <w:t>Jarang</w:t>
            </w:r>
          </w:p>
        </w:tc>
        <w:tc>
          <w:tcPr>
            <w:tcW w:w="749" w:type="dxa"/>
          </w:tcPr>
          <w:p>
            <w:pPr>
              <w:pStyle w:val="TableParagraph"/>
              <w:rPr>
                <w:i/>
                <w:sz w:val="20"/>
              </w:rPr>
            </w:pPr>
          </w:p>
          <w:p>
            <w:pPr>
              <w:pStyle w:val="TableParagraph"/>
              <w:spacing w:before="3"/>
              <w:rPr>
                <w:i/>
                <w:sz w:val="20"/>
              </w:rPr>
            </w:pPr>
          </w:p>
          <w:p>
            <w:pPr>
              <w:pStyle w:val="TableParagraph"/>
              <w:ind w:left="5" w:right="68"/>
              <w:jc w:val="center"/>
              <w:rPr>
                <w:sz w:val="20"/>
              </w:rPr>
            </w:pPr>
            <w:r>
              <w:rPr>
                <w:spacing w:val="-2"/>
                <w:sz w:val="20"/>
              </w:rPr>
              <w:t>Sedang</w:t>
            </w:r>
          </w:p>
        </w:tc>
        <w:tc>
          <w:tcPr>
            <w:tcW w:w="919" w:type="dxa"/>
            <w:shd w:val="clear" w:color="auto" w:fill="BEBEBE"/>
          </w:tcPr>
          <w:p>
            <w:pPr>
              <w:pStyle w:val="TableParagraph"/>
              <w:spacing w:before="118"/>
              <w:rPr>
                <w:i/>
                <w:sz w:val="20"/>
              </w:rPr>
            </w:pPr>
          </w:p>
          <w:p>
            <w:pPr>
              <w:pStyle w:val="TableParagraph"/>
              <w:ind w:left="63" w:firstLine="100"/>
              <w:rPr>
                <w:i/>
                <w:sz w:val="20"/>
              </w:rPr>
            </w:pPr>
            <w:r>
              <w:rPr>
                <w:i/>
                <w:sz w:val="20"/>
              </w:rPr>
              <w:t>Low to </w:t>
            </w:r>
            <w:r>
              <w:rPr>
                <w:i/>
                <w:spacing w:val="-2"/>
                <w:sz w:val="20"/>
              </w:rPr>
              <w:t>moderate</w:t>
            </w:r>
          </w:p>
        </w:tc>
        <w:tc>
          <w:tcPr>
            <w:tcW w:w="979" w:type="dxa"/>
          </w:tcPr>
          <w:p>
            <w:pPr>
              <w:pStyle w:val="TableParagraph"/>
              <w:spacing w:before="3"/>
              <w:rPr>
                <w:i/>
                <w:sz w:val="20"/>
              </w:rPr>
            </w:pPr>
          </w:p>
          <w:p>
            <w:pPr>
              <w:pStyle w:val="TableParagraph"/>
              <w:ind w:left="219" w:right="208" w:firstLine="25"/>
              <w:jc w:val="both"/>
              <w:rPr>
                <w:i/>
                <w:sz w:val="20"/>
              </w:rPr>
            </w:pPr>
            <w:r>
              <w:rPr>
                <w:i/>
                <w:spacing w:val="-2"/>
                <w:sz w:val="20"/>
              </w:rPr>
              <w:t>Water spray system</w:t>
            </w:r>
          </w:p>
        </w:tc>
        <w:tc>
          <w:tcPr>
            <w:tcW w:w="879" w:type="dxa"/>
          </w:tcPr>
          <w:p>
            <w:pPr>
              <w:pStyle w:val="TableParagraph"/>
              <w:rPr>
                <w:i/>
                <w:sz w:val="20"/>
              </w:rPr>
            </w:pPr>
          </w:p>
          <w:p>
            <w:pPr>
              <w:pStyle w:val="TableParagraph"/>
              <w:spacing w:before="3"/>
              <w:rPr>
                <w:i/>
                <w:sz w:val="20"/>
              </w:rPr>
            </w:pPr>
          </w:p>
          <w:p>
            <w:pPr>
              <w:pStyle w:val="TableParagraph"/>
              <w:ind w:left="17" w:right="10"/>
              <w:jc w:val="center"/>
              <w:rPr>
                <w:sz w:val="20"/>
              </w:rPr>
            </w:pPr>
            <w:r>
              <w:rPr>
                <w:spacing w:val="-2"/>
                <w:sz w:val="20"/>
              </w:rPr>
              <w:t>Jarang</w:t>
            </w:r>
          </w:p>
        </w:tc>
        <w:tc>
          <w:tcPr>
            <w:tcW w:w="769" w:type="dxa"/>
          </w:tcPr>
          <w:p>
            <w:pPr>
              <w:pStyle w:val="TableParagraph"/>
              <w:rPr>
                <w:i/>
                <w:sz w:val="20"/>
              </w:rPr>
            </w:pPr>
          </w:p>
          <w:p>
            <w:pPr>
              <w:pStyle w:val="TableParagraph"/>
              <w:spacing w:before="3"/>
              <w:rPr>
                <w:i/>
                <w:sz w:val="20"/>
              </w:rPr>
            </w:pPr>
          </w:p>
          <w:p>
            <w:pPr>
              <w:pStyle w:val="TableParagraph"/>
              <w:ind w:left="17" w:right="17"/>
              <w:jc w:val="center"/>
              <w:rPr>
                <w:sz w:val="20"/>
              </w:rPr>
            </w:pPr>
            <w:r>
              <w:rPr>
                <w:spacing w:val="-2"/>
                <w:sz w:val="20"/>
              </w:rPr>
              <w:t>Rendah</w:t>
            </w:r>
          </w:p>
        </w:tc>
        <w:tc>
          <w:tcPr>
            <w:tcW w:w="920" w:type="dxa"/>
            <w:shd w:val="clear" w:color="auto" w:fill="BEBEBE"/>
          </w:tcPr>
          <w:p>
            <w:pPr>
              <w:pStyle w:val="TableParagraph"/>
              <w:spacing w:before="118"/>
              <w:rPr>
                <w:i/>
                <w:sz w:val="20"/>
              </w:rPr>
            </w:pPr>
          </w:p>
          <w:p>
            <w:pPr>
              <w:pStyle w:val="TableParagraph"/>
              <w:ind w:left="124" w:firstLine="99"/>
              <w:rPr>
                <w:i/>
                <w:sz w:val="20"/>
              </w:rPr>
            </w:pPr>
            <w:r>
              <w:rPr>
                <w:i/>
                <w:sz w:val="20"/>
              </w:rPr>
              <w:t>Low to </w:t>
            </w:r>
            <w:r>
              <w:rPr>
                <w:i/>
                <w:spacing w:val="-2"/>
                <w:sz w:val="20"/>
              </w:rPr>
              <w:t>moderate</w:t>
            </w:r>
          </w:p>
        </w:tc>
      </w:tr>
      <w:tr>
        <w:trPr>
          <w:trHeight w:val="1060" w:hRule="atLeast"/>
        </w:trPr>
        <w:tc>
          <w:tcPr>
            <w:tcW w:w="475" w:type="dxa"/>
          </w:tcPr>
          <w:p>
            <w:pPr>
              <w:pStyle w:val="TableParagraph"/>
              <w:spacing w:before="118"/>
              <w:ind w:left="12" w:right="6"/>
              <w:jc w:val="center"/>
              <w:rPr>
                <w:sz w:val="20"/>
              </w:rPr>
            </w:pPr>
            <w:r>
              <w:rPr>
                <w:spacing w:val="-5"/>
                <w:sz w:val="20"/>
              </w:rPr>
              <w:t>4.</w:t>
            </w:r>
          </w:p>
        </w:tc>
        <w:tc>
          <w:tcPr>
            <w:tcW w:w="1550" w:type="dxa"/>
          </w:tcPr>
          <w:p>
            <w:pPr>
              <w:pStyle w:val="TableParagraph"/>
              <w:spacing w:before="113"/>
              <w:ind w:left="110"/>
              <w:rPr>
                <w:sz w:val="20"/>
              </w:rPr>
            </w:pPr>
            <w:r>
              <w:rPr>
                <w:sz w:val="20"/>
              </w:rPr>
              <w:t>Kegagalan</w:t>
            </w:r>
            <w:r>
              <w:rPr>
                <w:spacing w:val="52"/>
                <w:sz w:val="20"/>
              </w:rPr>
              <w:t> </w:t>
            </w:r>
            <w:r>
              <w:rPr>
                <w:spacing w:val="-4"/>
                <w:sz w:val="20"/>
              </w:rPr>
              <w:t>pada</w:t>
            </w:r>
          </w:p>
          <w:p>
            <w:pPr>
              <w:pStyle w:val="TableParagraph"/>
              <w:tabs>
                <w:tab w:pos="970" w:val="left" w:leader="none"/>
              </w:tabs>
              <w:spacing w:before="1"/>
              <w:ind w:left="110"/>
              <w:rPr>
                <w:i/>
                <w:sz w:val="20"/>
              </w:rPr>
            </w:pPr>
            <w:r>
              <w:rPr>
                <w:i/>
                <w:spacing w:val="-2"/>
                <w:sz w:val="20"/>
              </w:rPr>
              <w:t>flange,</w:t>
            </w:r>
            <w:r>
              <w:rPr>
                <w:i/>
                <w:sz w:val="20"/>
              </w:rPr>
              <w:tab/>
            </w:r>
            <w:r>
              <w:rPr>
                <w:i/>
                <w:spacing w:val="-2"/>
                <w:sz w:val="20"/>
              </w:rPr>
              <w:t>valve,</w:t>
            </w:r>
          </w:p>
          <w:p>
            <w:pPr>
              <w:pStyle w:val="TableParagraph"/>
              <w:tabs>
                <w:tab w:pos="1100" w:val="left" w:leader="none"/>
              </w:tabs>
              <w:ind w:left="110" w:right="93"/>
              <w:rPr>
                <w:sz w:val="20"/>
              </w:rPr>
            </w:pPr>
            <w:r>
              <w:rPr>
                <w:spacing w:val="-4"/>
                <w:sz w:val="20"/>
              </w:rPr>
              <w:t>atau</w:t>
            </w:r>
            <w:r>
              <w:rPr>
                <w:sz w:val="20"/>
              </w:rPr>
              <w:tab/>
            </w:r>
            <w:r>
              <w:rPr>
                <w:spacing w:val="-4"/>
                <w:sz w:val="20"/>
              </w:rPr>
              <w:t>pipa </w:t>
            </w:r>
            <w:r>
              <w:rPr>
                <w:spacing w:val="-2"/>
                <w:sz w:val="20"/>
              </w:rPr>
              <w:t>transfer</w:t>
            </w:r>
          </w:p>
        </w:tc>
        <w:tc>
          <w:tcPr>
            <w:tcW w:w="980" w:type="dxa"/>
          </w:tcPr>
          <w:p>
            <w:pPr>
              <w:pStyle w:val="TableParagraph"/>
              <w:spacing w:before="228"/>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rPr>
                <w:i/>
                <w:sz w:val="20"/>
              </w:rPr>
            </w:pPr>
          </w:p>
          <w:p>
            <w:pPr>
              <w:pStyle w:val="TableParagraph"/>
              <w:spacing w:before="3"/>
              <w:rPr>
                <w:i/>
                <w:sz w:val="20"/>
              </w:rPr>
            </w:pPr>
          </w:p>
          <w:p>
            <w:pPr>
              <w:pStyle w:val="TableParagraph"/>
              <w:spacing w:before="1"/>
              <w:ind w:left="12"/>
              <w:jc w:val="center"/>
              <w:rPr>
                <w:sz w:val="20"/>
              </w:rPr>
            </w:pPr>
            <w:r>
              <w:rPr>
                <w:spacing w:val="-2"/>
                <w:sz w:val="20"/>
              </w:rPr>
              <w:t>Jarang</w:t>
            </w:r>
          </w:p>
        </w:tc>
        <w:tc>
          <w:tcPr>
            <w:tcW w:w="749" w:type="dxa"/>
          </w:tcPr>
          <w:p>
            <w:pPr>
              <w:pStyle w:val="TableParagraph"/>
              <w:rPr>
                <w:i/>
                <w:sz w:val="20"/>
              </w:rPr>
            </w:pPr>
          </w:p>
          <w:p>
            <w:pPr>
              <w:pStyle w:val="TableParagraph"/>
              <w:spacing w:before="3"/>
              <w:rPr>
                <w:i/>
                <w:sz w:val="20"/>
              </w:rPr>
            </w:pPr>
          </w:p>
          <w:p>
            <w:pPr>
              <w:pStyle w:val="TableParagraph"/>
              <w:spacing w:before="1"/>
              <w:ind w:left="5" w:right="68"/>
              <w:jc w:val="center"/>
              <w:rPr>
                <w:sz w:val="20"/>
              </w:rPr>
            </w:pPr>
            <w:r>
              <w:rPr>
                <w:spacing w:val="-2"/>
                <w:sz w:val="20"/>
              </w:rPr>
              <w:t>Sedang</w:t>
            </w:r>
          </w:p>
        </w:tc>
        <w:tc>
          <w:tcPr>
            <w:tcW w:w="919" w:type="dxa"/>
            <w:shd w:val="clear" w:color="auto" w:fill="BEBEBE"/>
          </w:tcPr>
          <w:p>
            <w:pPr>
              <w:pStyle w:val="TableParagraph"/>
              <w:spacing w:before="113"/>
              <w:rPr>
                <w:i/>
                <w:sz w:val="20"/>
              </w:rPr>
            </w:pPr>
          </w:p>
          <w:p>
            <w:pPr>
              <w:pStyle w:val="TableParagraph"/>
              <w:spacing w:before="1"/>
              <w:ind w:left="63" w:firstLine="100"/>
              <w:rPr>
                <w:i/>
                <w:sz w:val="20"/>
              </w:rPr>
            </w:pPr>
            <w:r>
              <w:rPr>
                <w:i/>
                <w:sz w:val="20"/>
              </w:rPr>
              <w:t>Low to </w:t>
            </w:r>
            <w:r>
              <w:rPr>
                <w:i/>
                <w:spacing w:val="-2"/>
                <w:sz w:val="20"/>
              </w:rPr>
              <w:t>moderate</w:t>
            </w:r>
          </w:p>
        </w:tc>
        <w:tc>
          <w:tcPr>
            <w:tcW w:w="979" w:type="dxa"/>
          </w:tcPr>
          <w:p>
            <w:pPr>
              <w:pStyle w:val="TableParagraph"/>
              <w:spacing w:before="228"/>
              <w:ind w:left="219" w:right="208" w:firstLine="25"/>
              <w:jc w:val="both"/>
              <w:rPr>
                <w:i/>
                <w:sz w:val="20"/>
              </w:rPr>
            </w:pPr>
            <w:r>
              <w:rPr>
                <w:i/>
                <w:spacing w:val="-2"/>
                <w:sz w:val="20"/>
              </w:rPr>
              <w:t>Water spray system</w:t>
            </w:r>
          </w:p>
        </w:tc>
        <w:tc>
          <w:tcPr>
            <w:tcW w:w="879" w:type="dxa"/>
          </w:tcPr>
          <w:p>
            <w:pPr>
              <w:pStyle w:val="TableParagraph"/>
              <w:rPr>
                <w:i/>
                <w:sz w:val="20"/>
              </w:rPr>
            </w:pPr>
          </w:p>
          <w:p>
            <w:pPr>
              <w:pStyle w:val="TableParagraph"/>
              <w:spacing w:before="3"/>
              <w:rPr>
                <w:i/>
                <w:sz w:val="20"/>
              </w:rPr>
            </w:pPr>
          </w:p>
          <w:p>
            <w:pPr>
              <w:pStyle w:val="TableParagraph"/>
              <w:spacing w:before="1"/>
              <w:ind w:left="17" w:right="10"/>
              <w:jc w:val="center"/>
              <w:rPr>
                <w:sz w:val="20"/>
              </w:rPr>
            </w:pPr>
            <w:r>
              <w:rPr>
                <w:spacing w:val="-2"/>
                <w:sz w:val="20"/>
              </w:rPr>
              <w:t>Jarang</w:t>
            </w:r>
          </w:p>
        </w:tc>
        <w:tc>
          <w:tcPr>
            <w:tcW w:w="769" w:type="dxa"/>
          </w:tcPr>
          <w:p>
            <w:pPr>
              <w:pStyle w:val="TableParagraph"/>
              <w:rPr>
                <w:i/>
                <w:sz w:val="20"/>
              </w:rPr>
            </w:pPr>
          </w:p>
          <w:p>
            <w:pPr>
              <w:pStyle w:val="TableParagraph"/>
              <w:spacing w:before="3"/>
              <w:rPr>
                <w:i/>
                <w:sz w:val="20"/>
              </w:rPr>
            </w:pPr>
          </w:p>
          <w:p>
            <w:pPr>
              <w:pStyle w:val="TableParagraph"/>
              <w:spacing w:before="1"/>
              <w:ind w:left="17" w:right="17"/>
              <w:jc w:val="center"/>
              <w:rPr>
                <w:sz w:val="20"/>
              </w:rPr>
            </w:pPr>
            <w:r>
              <w:rPr>
                <w:spacing w:val="-2"/>
                <w:sz w:val="20"/>
              </w:rPr>
              <w:t>Rendah</w:t>
            </w:r>
          </w:p>
        </w:tc>
        <w:tc>
          <w:tcPr>
            <w:tcW w:w="920" w:type="dxa"/>
            <w:shd w:val="clear" w:color="auto" w:fill="BEBEBE"/>
          </w:tcPr>
          <w:p>
            <w:pPr>
              <w:pStyle w:val="TableParagraph"/>
              <w:spacing w:before="113"/>
              <w:rPr>
                <w:i/>
                <w:sz w:val="20"/>
              </w:rPr>
            </w:pPr>
          </w:p>
          <w:p>
            <w:pPr>
              <w:pStyle w:val="TableParagraph"/>
              <w:spacing w:before="1"/>
              <w:ind w:left="129" w:firstLine="99"/>
              <w:rPr>
                <w:i/>
                <w:sz w:val="20"/>
              </w:rPr>
            </w:pPr>
            <w:r>
              <w:rPr>
                <w:i/>
                <w:sz w:val="20"/>
              </w:rPr>
              <w:t>Low to </w:t>
            </w:r>
            <w:r>
              <w:rPr>
                <w:i/>
                <w:spacing w:val="-2"/>
                <w:sz w:val="20"/>
              </w:rPr>
              <w:t>moderate</w:t>
            </w:r>
          </w:p>
        </w:tc>
      </w:tr>
      <w:tr>
        <w:trPr>
          <w:trHeight w:val="1290" w:hRule="atLeast"/>
        </w:trPr>
        <w:tc>
          <w:tcPr>
            <w:tcW w:w="475" w:type="dxa"/>
          </w:tcPr>
          <w:p>
            <w:pPr>
              <w:pStyle w:val="TableParagraph"/>
              <w:spacing w:before="118"/>
              <w:ind w:left="12" w:right="6"/>
              <w:jc w:val="center"/>
              <w:rPr>
                <w:sz w:val="20"/>
              </w:rPr>
            </w:pPr>
            <w:r>
              <w:rPr>
                <w:spacing w:val="-5"/>
                <w:sz w:val="20"/>
              </w:rPr>
              <w:t>5.</w:t>
            </w:r>
          </w:p>
        </w:tc>
        <w:tc>
          <w:tcPr>
            <w:tcW w:w="1550" w:type="dxa"/>
          </w:tcPr>
          <w:p>
            <w:pPr>
              <w:pStyle w:val="TableParagraph"/>
              <w:tabs>
                <w:tab w:pos="954" w:val="left" w:leader="none"/>
              </w:tabs>
              <w:spacing w:before="113"/>
              <w:ind w:left="110" w:right="93"/>
              <w:rPr>
                <w:sz w:val="20"/>
              </w:rPr>
            </w:pPr>
            <w:r>
              <w:rPr>
                <w:spacing w:val="-2"/>
                <w:sz w:val="20"/>
              </w:rPr>
              <w:t>Tumpahan</w:t>
            </w:r>
            <w:r>
              <w:rPr>
                <w:spacing w:val="40"/>
                <w:sz w:val="20"/>
              </w:rPr>
              <w:t> </w:t>
            </w:r>
            <w:r>
              <w:rPr>
                <w:spacing w:val="-2"/>
                <w:sz w:val="20"/>
              </w:rPr>
              <w:t>cairan</w:t>
            </w:r>
            <w:r>
              <w:rPr>
                <w:sz w:val="20"/>
              </w:rPr>
              <w:tab/>
            </w:r>
            <w:r>
              <w:rPr>
                <w:spacing w:val="-2"/>
                <w:sz w:val="20"/>
              </w:rPr>
              <w:t>akibat overfilling</w:t>
            </w:r>
            <w:r>
              <w:rPr>
                <w:spacing w:val="40"/>
                <w:sz w:val="20"/>
              </w:rPr>
              <w:t> </w:t>
            </w:r>
            <w:r>
              <w:rPr>
                <w:sz w:val="20"/>
              </w:rPr>
              <w:t>ketika</w:t>
            </w:r>
            <w:r>
              <w:rPr>
                <w:spacing w:val="-2"/>
                <w:sz w:val="20"/>
              </w:rPr>
              <w:t> </w:t>
            </w:r>
            <w:r>
              <w:rPr>
                <w:sz w:val="20"/>
              </w:rPr>
              <w:t>pengisian </w:t>
            </w:r>
            <w:r>
              <w:rPr>
                <w:spacing w:val="-2"/>
                <w:sz w:val="20"/>
              </w:rPr>
              <w:t>tangki</w:t>
            </w:r>
          </w:p>
        </w:tc>
        <w:tc>
          <w:tcPr>
            <w:tcW w:w="980" w:type="dxa"/>
          </w:tcPr>
          <w:p>
            <w:pPr>
              <w:pStyle w:val="TableParagraph"/>
              <w:spacing w:before="113"/>
              <w:rPr>
                <w:i/>
                <w:sz w:val="20"/>
              </w:rPr>
            </w:pPr>
          </w:p>
          <w:p>
            <w:pPr>
              <w:pStyle w:val="TableParagraph"/>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rPr>
                <w:i/>
                <w:sz w:val="20"/>
              </w:rPr>
            </w:pPr>
          </w:p>
          <w:p>
            <w:pPr>
              <w:pStyle w:val="TableParagraph"/>
              <w:spacing w:before="118"/>
              <w:rPr>
                <w:i/>
                <w:sz w:val="20"/>
              </w:rPr>
            </w:pPr>
          </w:p>
          <w:p>
            <w:pPr>
              <w:pStyle w:val="TableParagraph"/>
              <w:ind w:left="43"/>
              <w:jc w:val="center"/>
              <w:rPr>
                <w:sz w:val="20"/>
              </w:rPr>
            </w:pPr>
            <w:r>
              <w:rPr>
                <w:spacing w:val="-2"/>
                <w:sz w:val="20"/>
              </w:rPr>
              <w:t>Mungkin</w:t>
            </w:r>
          </w:p>
        </w:tc>
        <w:tc>
          <w:tcPr>
            <w:tcW w:w="749" w:type="dxa"/>
          </w:tcPr>
          <w:p>
            <w:pPr>
              <w:pStyle w:val="TableParagraph"/>
              <w:rPr>
                <w:i/>
                <w:sz w:val="20"/>
              </w:rPr>
            </w:pPr>
          </w:p>
          <w:p>
            <w:pPr>
              <w:pStyle w:val="TableParagraph"/>
              <w:spacing w:before="118"/>
              <w:rPr>
                <w:i/>
                <w:sz w:val="20"/>
              </w:rPr>
            </w:pPr>
          </w:p>
          <w:p>
            <w:pPr>
              <w:pStyle w:val="TableParagraph"/>
              <w:ind w:left="6" w:right="63"/>
              <w:jc w:val="center"/>
              <w:rPr>
                <w:sz w:val="20"/>
              </w:rPr>
            </w:pPr>
            <w:r>
              <w:rPr>
                <w:spacing w:val="-2"/>
                <w:sz w:val="20"/>
              </w:rPr>
              <w:t>Tinggi</w:t>
            </w:r>
          </w:p>
        </w:tc>
        <w:tc>
          <w:tcPr>
            <w:tcW w:w="919" w:type="dxa"/>
            <w:shd w:val="clear" w:color="auto" w:fill="808080"/>
          </w:tcPr>
          <w:p>
            <w:pPr>
              <w:pStyle w:val="TableParagraph"/>
              <w:spacing w:before="228"/>
              <w:rPr>
                <w:i/>
                <w:sz w:val="20"/>
              </w:rPr>
            </w:pPr>
          </w:p>
          <w:p>
            <w:pPr>
              <w:pStyle w:val="TableParagraph"/>
              <w:ind w:left="158" w:hanging="111"/>
              <w:rPr>
                <w:i/>
                <w:sz w:val="20"/>
              </w:rPr>
            </w:pPr>
            <w:r>
              <w:rPr>
                <w:i/>
                <w:spacing w:val="-2"/>
                <w:sz w:val="20"/>
              </w:rPr>
              <w:t>Moderate </w:t>
            </w:r>
            <w:r>
              <w:rPr>
                <w:i/>
                <w:sz w:val="20"/>
              </w:rPr>
              <w:t>to high</w:t>
            </w:r>
          </w:p>
        </w:tc>
        <w:tc>
          <w:tcPr>
            <w:tcW w:w="979" w:type="dxa"/>
          </w:tcPr>
          <w:p>
            <w:pPr>
              <w:pStyle w:val="TableParagraph"/>
              <w:spacing w:before="113"/>
              <w:rPr>
                <w:i/>
                <w:sz w:val="20"/>
              </w:rPr>
            </w:pPr>
          </w:p>
          <w:p>
            <w:pPr>
              <w:pStyle w:val="TableParagraph"/>
              <w:ind w:left="219" w:right="208" w:firstLine="25"/>
              <w:jc w:val="both"/>
              <w:rPr>
                <w:i/>
                <w:sz w:val="20"/>
              </w:rPr>
            </w:pPr>
            <w:r>
              <w:rPr>
                <w:i/>
                <w:spacing w:val="-2"/>
                <w:sz w:val="20"/>
              </w:rPr>
              <w:t>Water spray system</w:t>
            </w:r>
          </w:p>
        </w:tc>
        <w:tc>
          <w:tcPr>
            <w:tcW w:w="879" w:type="dxa"/>
          </w:tcPr>
          <w:p>
            <w:pPr>
              <w:pStyle w:val="TableParagraph"/>
              <w:rPr>
                <w:i/>
                <w:sz w:val="20"/>
              </w:rPr>
            </w:pPr>
          </w:p>
          <w:p>
            <w:pPr>
              <w:pStyle w:val="TableParagraph"/>
              <w:spacing w:before="118"/>
              <w:rPr>
                <w:i/>
                <w:sz w:val="20"/>
              </w:rPr>
            </w:pPr>
          </w:p>
          <w:p>
            <w:pPr>
              <w:pStyle w:val="TableParagraph"/>
              <w:ind w:left="17" w:right="9"/>
              <w:jc w:val="center"/>
              <w:rPr>
                <w:sz w:val="20"/>
              </w:rPr>
            </w:pPr>
            <w:r>
              <w:rPr>
                <w:spacing w:val="-2"/>
                <w:sz w:val="20"/>
              </w:rPr>
              <w:t>Mungkin</w:t>
            </w:r>
          </w:p>
        </w:tc>
        <w:tc>
          <w:tcPr>
            <w:tcW w:w="769" w:type="dxa"/>
          </w:tcPr>
          <w:p>
            <w:pPr>
              <w:pStyle w:val="TableParagraph"/>
              <w:rPr>
                <w:i/>
                <w:sz w:val="20"/>
              </w:rPr>
            </w:pPr>
          </w:p>
          <w:p>
            <w:pPr>
              <w:pStyle w:val="TableParagraph"/>
              <w:spacing w:before="118"/>
              <w:rPr>
                <w:i/>
                <w:sz w:val="20"/>
              </w:rPr>
            </w:pPr>
          </w:p>
          <w:p>
            <w:pPr>
              <w:pStyle w:val="TableParagraph"/>
              <w:ind w:left="16" w:right="18"/>
              <w:jc w:val="center"/>
              <w:rPr>
                <w:sz w:val="20"/>
              </w:rPr>
            </w:pPr>
            <w:r>
              <w:rPr>
                <w:spacing w:val="-2"/>
                <w:sz w:val="20"/>
              </w:rPr>
              <w:t>Sedang</w:t>
            </w:r>
          </w:p>
        </w:tc>
        <w:tc>
          <w:tcPr>
            <w:tcW w:w="920" w:type="dxa"/>
            <w:shd w:val="clear" w:color="auto" w:fill="A6A6A6"/>
          </w:tcPr>
          <w:p>
            <w:pPr>
              <w:pStyle w:val="TableParagraph"/>
              <w:rPr>
                <w:i/>
                <w:sz w:val="20"/>
              </w:rPr>
            </w:pPr>
          </w:p>
          <w:p>
            <w:pPr>
              <w:pStyle w:val="TableParagraph"/>
              <w:spacing w:before="118"/>
              <w:rPr>
                <w:i/>
                <w:sz w:val="20"/>
              </w:rPr>
            </w:pPr>
          </w:p>
          <w:p>
            <w:pPr>
              <w:pStyle w:val="TableParagraph"/>
              <w:ind w:left="63"/>
              <w:rPr>
                <w:i/>
                <w:sz w:val="20"/>
              </w:rPr>
            </w:pPr>
            <w:r>
              <w:rPr>
                <w:i/>
                <w:spacing w:val="-2"/>
                <w:sz w:val="20"/>
              </w:rPr>
              <w:t>Moderate</w:t>
            </w:r>
          </w:p>
        </w:tc>
      </w:tr>
      <w:tr>
        <w:trPr>
          <w:trHeight w:val="1059" w:hRule="atLeast"/>
        </w:trPr>
        <w:tc>
          <w:tcPr>
            <w:tcW w:w="475" w:type="dxa"/>
          </w:tcPr>
          <w:p>
            <w:pPr>
              <w:pStyle w:val="TableParagraph"/>
              <w:spacing w:before="118"/>
              <w:ind w:left="12" w:right="6"/>
              <w:jc w:val="center"/>
              <w:rPr>
                <w:sz w:val="20"/>
              </w:rPr>
            </w:pPr>
            <w:r>
              <w:rPr>
                <w:spacing w:val="-5"/>
                <w:sz w:val="20"/>
              </w:rPr>
              <w:t>6.</w:t>
            </w:r>
          </w:p>
        </w:tc>
        <w:tc>
          <w:tcPr>
            <w:tcW w:w="1550" w:type="dxa"/>
          </w:tcPr>
          <w:p>
            <w:pPr>
              <w:pStyle w:val="TableParagraph"/>
              <w:spacing w:before="118"/>
              <w:ind w:left="110" w:right="91"/>
              <w:jc w:val="both"/>
              <w:rPr>
                <w:sz w:val="20"/>
              </w:rPr>
            </w:pPr>
            <w:r>
              <w:rPr>
                <w:spacing w:val="-2"/>
                <w:sz w:val="20"/>
              </w:rPr>
              <w:t>Percikan</w:t>
            </w:r>
            <w:r>
              <w:rPr>
                <w:spacing w:val="-11"/>
                <w:sz w:val="20"/>
              </w:rPr>
              <w:t> </w:t>
            </w:r>
            <w:r>
              <w:rPr>
                <w:spacing w:val="-2"/>
                <w:sz w:val="20"/>
              </w:rPr>
              <w:t>api</w:t>
            </w:r>
            <w:r>
              <w:rPr>
                <w:spacing w:val="-10"/>
                <w:sz w:val="20"/>
              </w:rPr>
              <w:t> </w:t>
            </w:r>
            <w:r>
              <w:rPr>
                <w:spacing w:val="-2"/>
                <w:sz w:val="20"/>
              </w:rPr>
              <w:t>dari </w:t>
            </w:r>
            <w:r>
              <w:rPr>
                <w:sz w:val="20"/>
              </w:rPr>
              <w:t>aktivitas </w:t>
            </w:r>
            <w:r>
              <w:rPr>
                <w:i/>
                <w:sz w:val="20"/>
              </w:rPr>
              <w:t>hot work </w:t>
            </w:r>
            <w:r>
              <w:rPr>
                <w:sz w:val="20"/>
              </w:rPr>
              <w:t>di area </w:t>
            </w:r>
            <w:r>
              <w:rPr>
                <w:spacing w:val="-2"/>
                <w:sz w:val="20"/>
              </w:rPr>
              <w:t>tangki</w:t>
            </w:r>
          </w:p>
        </w:tc>
        <w:tc>
          <w:tcPr>
            <w:tcW w:w="980" w:type="dxa"/>
          </w:tcPr>
          <w:p>
            <w:pPr>
              <w:pStyle w:val="TableParagraph"/>
              <w:spacing w:before="3"/>
              <w:rPr>
                <w:i/>
                <w:sz w:val="20"/>
              </w:rPr>
            </w:pPr>
          </w:p>
          <w:p>
            <w:pPr>
              <w:pStyle w:val="TableParagraph"/>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spacing w:before="118"/>
              <w:rPr>
                <w:i/>
                <w:sz w:val="20"/>
              </w:rPr>
            </w:pPr>
          </w:p>
          <w:p>
            <w:pPr>
              <w:pStyle w:val="TableParagraph"/>
              <w:ind w:left="241" w:right="120" w:hanging="105"/>
              <w:rPr>
                <w:sz w:val="20"/>
              </w:rPr>
            </w:pPr>
            <w:r>
              <w:rPr>
                <w:spacing w:val="-2"/>
                <w:sz w:val="20"/>
              </w:rPr>
              <w:t>Hampir tidak</w:t>
            </w:r>
          </w:p>
        </w:tc>
        <w:tc>
          <w:tcPr>
            <w:tcW w:w="749" w:type="dxa"/>
          </w:tcPr>
          <w:p>
            <w:pPr>
              <w:pStyle w:val="TableParagraph"/>
              <w:rPr>
                <w:i/>
                <w:sz w:val="20"/>
              </w:rPr>
            </w:pPr>
          </w:p>
          <w:p>
            <w:pPr>
              <w:pStyle w:val="TableParagraph"/>
              <w:spacing w:before="3"/>
              <w:rPr>
                <w:i/>
                <w:sz w:val="20"/>
              </w:rPr>
            </w:pPr>
          </w:p>
          <w:p>
            <w:pPr>
              <w:pStyle w:val="TableParagraph"/>
              <w:ind w:left="5" w:right="68"/>
              <w:jc w:val="center"/>
              <w:rPr>
                <w:sz w:val="20"/>
              </w:rPr>
            </w:pPr>
            <w:r>
              <w:rPr>
                <w:spacing w:val="-2"/>
                <w:sz w:val="20"/>
              </w:rPr>
              <w:t>Sedang</w:t>
            </w:r>
          </w:p>
        </w:tc>
        <w:tc>
          <w:tcPr>
            <w:tcW w:w="919" w:type="dxa"/>
            <w:shd w:val="clear" w:color="auto" w:fill="BEBEBE"/>
          </w:tcPr>
          <w:p>
            <w:pPr>
              <w:pStyle w:val="TableParagraph"/>
              <w:spacing w:before="118"/>
              <w:rPr>
                <w:i/>
                <w:sz w:val="20"/>
              </w:rPr>
            </w:pPr>
          </w:p>
          <w:p>
            <w:pPr>
              <w:pStyle w:val="TableParagraph"/>
              <w:ind w:left="63" w:firstLine="100"/>
              <w:rPr>
                <w:i/>
                <w:sz w:val="20"/>
              </w:rPr>
            </w:pPr>
            <w:r>
              <w:rPr>
                <w:i/>
                <w:sz w:val="20"/>
              </w:rPr>
              <w:t>Low to </w:t>
            </w:r>
            <w:r>
              <w:rPr>
                <w:i/>
                <w:spacing w:val="-2"/>
                <w:sz w:val="20"/>
              </w:rPr>
              <w:t>moderate</w:t>
            </w:r>
          </w:p>
        </w:tc>
        <w:tc>
          <w:tcPr>
            <w:tcW w:w="979" w:type="dxa"/>
          </w:tcPr>
          <w:p>
            <w:pPr>
              <w:pStyle w:val="TableParagraph"/>
              <w:spacing w:before="3"/>
              <w:rPr>
                <w:i/>
                <w:sz w:val="20"/>
              </w:rPr>
            </w:pPr>
          </w:p>
          <w:p>
            <w:pPr>
              <w:pStyle w:val="TableParagraph"/>
              <w:ind w:left="219" w:right="208" w:firstLine="25"/>
              <w:jc w:val="both"/>
              <w:rPr>
                <w:i/>
                <w:sz w:val="20"/>
              </w:rPr>
            </w:pPr>
            <w:r>
              <w:rPr>
                <w:i/>
                <w:spacing w:val="-2"/>
                <w:sz w:val="20"/>
              </w:rPr>
              <w:t>Water spray system</w:t>
            </w:r>
          </w:p>
        </w:tc>
        <w:tc>
          <w:tcPr>
            <w:tcW w:w="879" w:type="dxa"/>
          </w:tcPr>
          <w:p>
            <w:pPr>
              <w:pStyle w:val="TableParagraph"/>
              <w:spacing w:before="118"/>
              <w:rPr>
                <w:i/>
                <w:sz w:val="20"/>
              </w:rPr>
            </w:pPr>
          </w:p>
          <w:p>
            <w:pPr>
              <w:pStyle w:val="TableParagraph"/>
              <w:ind w:left="205" w:right="120" w:hanging="75"/>
              <w:rPr>
                <w:sz w:val="20"/>
              </w:rPr>
            </w:pPr>
            <w:r>
              <w:rPr>
                <w:spacing w:val="-2"/>
                <w:sz w:val="20"/>
              </w:rPr>
              <w:t>Hampir Tidak</w:t>
            </w:r>
          </w:p>
        </w:tc>
        <w:tc>
          <w:tcPr>
            <w:tcW w:w="769" w:type="dxa"/>
          </w:tcPr>
          <w:p>
            <w:pPr>
              <w:pStyle w:val="TableParagraph"/>
              <w:rPr>
                <w:i/>
                <w:sz w:val="20"/>
              </w:rPr>
            </w:pPr>
          </w:p>
          <w:p>
            <w:pPr>
              <w:pStyle w:val="TableParagraph"/>
              <w:spacing w:before="3"/>
              <w:rPr>
                <w:i/>
                <w:sz w:val="20"/>
              </w:rPr>
            </w:pPr>
          </w:p>
          <w:p>
            <w:pPr>
              <w:pStyle w:val="TableParagraph"/>
              <w:ind w:left="17" w:right="17"/>
              <w:jc w:val="center"/>
              <w:rPr>
                <w:sz w:val="20"/>
              </w:rPr>
            </w:pPr>
            <w:r>
              <w:rPr>
                <w:spacing w:val="-2"/>
                <w:sz w:val="20"/>
              </w:rPr>
              <w:t>Rendah</w:t>
            </w:r>
          </w:p>
        </w:tc>
        <w:tc>
          <w:tcPr>
            <w:tcW w:w="920" w:type="dxa"/>
            <w:shd w:val="clear" w:color="auto" w:fill="D9D9D9"/>
          </w:tcPr>
          <w:p>
            <w:pPr>
              <w:pStyle w:val="TableParagraph"/>
              <w:rPr>
                <w:i/>
                <w:sz w:val="20"/>
              </w:rPr>
            </w:pPr>
          </w:p>
          <w:p>
            <w:pPr>
              <w:pStyle w:val="TableParagraph"/>
              <w:spacing w:before="3"/>
              <w:rPr>
                <w:i/>
                <w:sz w:val="20"/>
              </w:rPr>
            </w:pPr>
          </w:p>
          <w:p>
            <w:pPr>
              <w:pStyle w:val="TableParagraph"/>
              <w:ind w:left="289"/>
              <w:rPr>
                <w:i/>
                <w:sz w:val="20"/>
              </w:rPr>
            </w:pPr>
            <w:r>
              <w:rPr>
                <w:i/>
                <w:spacing w:val="-5"/>
                <w:sz w:val="20"/>
              </w:rPr>
              <w:t>Low</w:t>
            </w:r>
          </w:p>
        </w:tc>
      </w:tr>
      <w:tr>
        <w:trPr>
          <w:trHeight w:val="1290" w:hRule="atLeast"/>
        </w:trPr>
        <w:tc>
          <w:tcPr>
            <w:tcW w:w="475" w:type="dxa"/>
          </w:tcPr>
          <w:p>
            <w:pPr>
              <w:pStyle w:val="TableParagraph"/>
              <w:spacing w:before="118"/>
              <w:ind w:left="12" w:right="6"/>
              <w:jc w:val="center"/>
              <w:rPr>
                <w:sz w:val="20"/>
              </w:rPr>
            </w:pPr>
            <w:r>
              <w:rPr>
                <w:spacing w:val="-5"/>
                <w:sz w:val="20"/>
              </w:rPr>
              <w:t>7.</w:t>
            </w:r>
          </w:p>
        </w:tc>
        <w:tc>
          <w:tcPr>
            <w:tcW w:w="1550" w:type="dxa"/>
          </w:tcPr>
          <w:p>
            <w:pPr>
              <w:pStyle w:val="TableParagraph"/>
              <w:tabs>
                <w:tab w:pos="1065" w:val="left" w:leader="none"/>
              </w:tabs>
              <w:spacing w:before="118"/>
              <w:ind w:left="110" w:right="94"/>
              <w:rPr>
                <w:sz w:val="20"/>
              </w:rPr>
            </w:pPr>
            <w:r>
              <w:rPr>
                <w:spacing w:val="-2"/>
                <w:sz w:val="20"/>
              </w:rPr>
              <w:t>Kegagalan </w:t>
            </w:r>
            <w:r>
              <w:rPr>
                <w:i/>
                <w:spacing w:val="-2"/>
                <w:sz w:val="20"/>
              </w:rPr>
              <w:t>breather valve</w:t>
            </w:r>
            <w:r>
              <w:rPr>
                <w:spacing w:val="-2"/>
                <w:sz w:val="20"/>
              </w:rPr>
              <w:t>/sistem venting</w:t>
            </w:r>
            <w:r>
              <w:rPr>
                <w:sz w:val="20"/>
              </w:rPr>
              <w:tab/>
            </w:r>
            <w:r>
              <w:rPr>
                <w:spacing w:val="-4"/>
                <w:sz w:val="20"/>
              </w:rPr>
              <w:t>pada </w:t>
            </w:r>
            <w:r>
              <w:rPr>
                <w:spacing w:val="-2"/>
                <w:sz w:val="20"/>
              </w:rPr>
              <w:t>tangki</w:t>
            </w:r>
          </w:p>
        </w:tc>
        <w:tc>
          <w:tcPr>
            <w:tcW w:w="980" w:type="dxa"/>
          </w:tcPr>
          <w:p>
            <w:pPr>
              <w:pStyle w:val="TableParagraph"/>
              <w:spacing w:before="118"/>
              <w:rPr>
                <w:i/>
                <w:sz w:val="20"/>
              </w:rPr>
            </w:pPr>
          </w:p>
          <w:p>
            <w:pPr>
              <w:pStyle w:val="TableParagraph"/>
              <w:spacing w:before="1"/>
              <w:ind w:left="146" w:right="130" w:hanging="7"/>
              <w:jc w:val="center"/>
              <w:rPr>
                <w:sz w:val="20"/>
              </w:rPr>
            </w:pPr>
            <w:r>
              <w:rPr>
                <w:spacing w:val="-2"/>
                <w:sz w:val="20"/>
              </w:rPr>
              <w:t>Hidran, </w:t>
            </w:r>
            <w:r>
              <w:rPr>
                <w:spacing w:val="-4"/>
                <w:sz w:val="20"/>
              </w:rPr>
              <w:t>foam </w:t>
            </w:r>
            <w:r>
              <w:rPr>
                <w:spacing w:val="-2"/>
                <w:sz w:val="20"/>
              </w:rPr>
              <w:t>chamber</w:t>
            </w:r>
          </w:p>
        </w:tc>
        <w:tc>
          <w:tcPr>
            <w:tcW w:w="885" w:type="dxa"/>
          </w:tcPr>
          <w:p>
            <w:pPr>
              <w:pStyle w:val="TableParagraph"/>
              <w:rPr>
                <w:i/>
                <w:sz w:val="20"/>
              </w:rPr>
            </w:pPr>
          </w:p>
          <w:p>
            <w:pPr>
              <w:pStyle w:val="TableParagraph"/>
              <w:spacing w:before="118"/>
              <w:rPr>
                <w:i/>
                <w:sz w:val="20"/>
              </w:rPr>
            </w:pPr>
          </w:p>
          <w:p>
            <w:pPr>
              <w:pStyle w:val="TableParagraph"/>
              <w:spacing w:before="1"/>
              <w:ind w:left="12"/>
              <w:jc w:val="center"/>
              <w:rPr>
                <w:sz w:val="20"/>
              </w:rPr>
            </w:pPr>
            <w:r>
              <w:rPr>
                <w:spacing w:val="-2"/>
                <w:sz w:val="20"/>
              </w:rPr>
              <w:t>Jarang</w:t>
            </w:r>
          </w:p>
        </w:tc>
        <w:tc>
          <w:tcPr>
            <w:tcW w:w="749" w:type="dxa"/>
          </w:tcPr>
          <w:p>
            <w:pPr>
              <w:pStyle w:val="TableParagraph"/>
              <w:rPr>
                <w:i/>
                <w:sz w:val="20"/>
              </w:rPr>
            </w:pPr>
          </w:p>
          <w:p>
            <w:pPr>
              <w:pStyle w:val="TableParagraph"/>
              <w:spacing w:before="118"/>
              <w:rPr>
                <w:i/>
                <w:sz w:val="20"/>
              </w:rPr>
            </w:pPr>
          </w:p>
          <w:p>
            <w:pPr>
              <w:pStyle w:val="TableParagraph"/>
              <w:spacing w:before="1"/>
              <w:ind w:left="5" w:right="68"/>
              <w:jc w:val="center"/>
              <w:rPr>
                <w:sz w:val="20"/>
              </w:rPr>
            </w:pPr>
            <w:r>
              <w:rPr>
                <w:spacing w:val="-2"/>
                <w:sz w:val="20"/>
              </w:rPr>
              <w:t>Sedang</w:t>
            </w:r>
          </w:p>
        </w:tc>
        <w:tc>
          <w:tcPr>
            <w:tcW w:w="919" w:type="dxa"/>
            <w:shd w:val="clear" w:color="auto" w:fill="BEBEBE"/>
          </w:tcPr>
          <w:p>
            <w:pPr>
              <w:pStyle w:val="TableParagraph"/>
              <w:rPr>
                <w:i/>
                <w:sz w:val="20"/>
              </w:rPr>
            </w:pPr>
          </w:p>
          <w:p>
            <w:pPr>
              <w:pStyle w:val="TableParagraph"/>
              <w:spacing w:before="3"/>
              <w:rPr>
                <w:i/>
                <w:sz w:val="20"/>
              </w:rPr>
            </w:pPr>
          </w:p>
          <w:p>
            <w:pPr>
              <w:pStyle w:val="TableParagraph"/>
              <w:spacing w:before="1"/>
              <w:ind w:left="63" w:firstLine="100"/>
              <w:rPr>
                <w:i/>
                <w:sz w:val="20"/>
              </w:rPr>
            </w:pPr>
            <w:r>
              <w:rPr>
                <w:i/>
                <w:sz w:val="20"/>
              </w:rPr>
              <w:t>Low to </w:t>
            </w:r>
            <w:r>
              <w:rPr>
                <w:i/>
                <w:spacing w:val="-2"/>
                <w:sz w:val="20"/>
              </w:rPr>
              <w:t>moderate</w:t>
            </w:r>
          </w:p>
        </w:tc>
        <w:tc>
          <w:tcPr>
            <w:tcW w:w="979" w:type="dxa"/>
          </w:tcPr>
          <w:p>
            <w:pPr>
              <w:pStyle w:val="TableParagraph"/>
              <w:spacing w:before="118"/>
              <w:rPr>
                <w:i/>
                <w:sz w:val="20"/>
              </w:rPr>
            </w:pPr>
          </w:p>
          <w:p>
            <w:pPr>
              <w:pStyle w:val="TableParagraph"/>
              <w:spacing w:before="1"/>
              <w:ind w:left="219" w:right="208" w:firstLine="25"/>
              <w:jc w:val="both"/>
              <w:rPr>
                <w:i/>
                <w:sz w:val="20"/>
              </w:rPr>
            </w:pPr>
            <w:r>
              <w:rPr>
                <w:i/>
                <w:spacing w:val="-2"/>
                <w:sz w:val="20"/>
              </w:rPr>
              <w:t>Water spray system</w:t>
            </w:r>
          </w:p>
        </w:tc>
        <w:tc>
          <w:tcPr>
            <w:tcW w:w="879" w:type="dxa"/>
          </w:tcPr>
          <w:p>
            <w:pPr>
              <w:pStyle w:val="TableParagraph"/>
              <w:rPr>
                <w:i/>
                <w:sz w:val="20"/>
              </w:rPr>
            </w:pPr>
          </w:p>
          <w:p>
            <w:pPr>
              <w:pStyle w:val="TableParagraph"/>
              <w:spacing w:before="118"/>
              <w:rPr>
                <w:i/>
                <w:sz w:val="20"/>
              </w:rPr>
            </w:pPr>
          </w:p>
          <w:p>
            <w:pPr>
              <w:pStyle w:val="TableParagraph"/>
              <w:spacing w:before="1"/>
              <w:ind w:left="17" w:right="9"/>
              <w:jc w:val="center"/>
              <w:rPr>
                <w:sz w:val="20"/>
              </w:rPr>
            </w:pPr>
            <w:r>
              <w:rPr>
                <w:spacing w:val="-2"/>
                <w:sz w:val="20"/>
              </w:rPr>
              <w:t>Mungkin</w:t>
            </w:r>
          </w:p>
        </w:tc>
        <w:tc>
          <w:tcPr>
            <w:tcW w:w="769" w:type="dxa"/>
          </w:tcPr>
          <w:p>
            <w:pPr>
              <w:pStyle w:val="TableParagraph"/>
              <w:rPr>
                <w:i/>
                <w:sz w:val="20"/>
              </w:rPr>
            </w:pPr>
          </w:p>
          <w:p>
            <w:pPr>
              <w:pStyle w:val="TableParagraph"/>
              <w:spacing w:before="118"/>
              <w:rPr>
                <w:i/>
                <w:sz w:val="20"/>
              </w:rPr>
            </w:pPr>
          </w:p>
          <w:p>
            <w:pPr>
              <w:pStyle w:val="TableParagraph"/>
              <w:spacing w:before="1"/>
              <w:ind w:left="17" w:right="17"/>
              <w:jc w:val="center"/>
              <w:rPr>
                <w:sz w:val="20"/>
              </w:rPr>
            </w:pPr>
            <w:r>
              <w:rPr>
                <w:spacing w:val="-2"/>
                <w:sz w:val="20"/>
              </w:rPr>
              <w:t>Rendah</w:t>
            </w:r>
          </w:p>
        </w:tc>
        <w:tc>
          <w:tcPr>
            <w:tcW w:w="920" w:type="dxa"/>
            <w:shd w:val="clear" w:color="auto" w:fill="BEBEBE"/>
          </w:tcPr>
          <w:p>
            <w:pPr>
              <w:pStyle w:val="TableParagraph"/>
              <w:rPr>
                <w:i/>
                <w:sz w:val="20"/>
              </w:rPr>
            </w:pPr>
          </w:p>
          <w:p>
            <w:pPr>
              <w:pStyle w:val="TableParagraph"/>
              <w:spacing w:before="3"/>
              <w:rPr>
                <w:i/>
                <w:sz w:val="20"/>
              </w:rPr>
            </w:pPr>
          </w:p>
          <w:p>
            <w:pPr>
              <w:pStyle w:val="TableParagraph"/>
              <w:spacing w:before="1"/>
              <w:ind w:left="79" w:firstLine="99"/>
              <w:rPr>
                <w:i/>
                <w:sz w:val="20"/>
              </w:rPr>
            </w:pPr>
            <w:r>
              <w:rPr>
                <w:i/>
                <w:sz w:val="20"/>
              </w:rPr>
              <w:t>Low to </w:t>
            </w:r>
            <w:r>
              <w:rPr>
                <w:i/>
                <w:spacing w:val="-2"/>
                <w:sz w:val="20"/>
              </w:rPr>
              <w:t>moderate</w:t>
            </w:r>
          </w:p>
        </w:tc>
      </w:tr>
    </w:tbl>
    <w:p>
      <w:pPr>
        <w:pStyle w:val="BodyText"/>
        <w:spacing w:before="1"/>
        <w:ind w:right="140" w:firstLine="425"/>
        <w:jc w:val="both"/>
      </w:pPr>
      <w:r>
        <w:rPr/>
        <w:t>Berdasarkan hasil penilaian risiko melalui observasi lapangan dan penilaian dari tiga pakar, skenario tumpahan cairan akibat kondisi </w:t>
      </w:r>
      <w:r>
        <w:rPr>
          <w:i/>
        </w:rPr>
        <w:t>overfilling </w:t>
      </w:r>
      <w:r>
        <w:rPr/>
        <w:t>saat pengisian tangki teridentifikasi memiliki tingkat risiko tertinggi, yakni pada kategori </w:t>
      </w:r>
      <w:r>
        <w:rPr>
          <w:i/>
        </w:rPr>
        <w:t>moderate to high</w:t>
      </w:r>
      <w:r>
        <w:rPr/>
        <w:t>. Penilaian ini didukung oleh data historis operasional perusahaan, di mana kegagalan sistem deteksi level pernah mengakibatkan tumpahan cairan dalam jumlah yang sangat besar yang kemudian tertampung oleh tanggul pengaman (</w:t>
      </w:r>
      <w:r>
        <w:rPr>
          <w:i/>
        </w:rPr>
        <w:t>bundwall</w:t>
      </w:r>
      <w:r>
        <w:rPr/>
        <w:t>).</w:t>
      </w:r>
    </w:p>
    <w:p>
      <w:pPr>
        <w:pStyle w:val="BodyText"/>
        <w:spacing w:before="1"/>
        <w:ind w:right="136" w:firstLine="425"/>
        <w:jc w:val="both"/>
      </w:pPr>
      <w:r>
        <w:rPr/>
        <w:t>Tingkat keparahan (</w:t>
      </w:r>
      <w:r>
        <w:rPr>
          <w:i/>
        </w:rPr>
        <w:t>severity</w:t>
      </w:r>
      <w:r>
        <w:rPr/>
        <w:t>) dari skenario terburuk tersebut dapat dikurangi dengan mengimplementasikan sistem</w:t>
      </w:r>
      <w:r>
        <w:rPr>
          <w:spacing w:val="20"/>
        </w:rPr>
        <w:t> </w:t>
      </w:r>
      <w:r>
        <w:rPr/>
        <w:t>proteksi</w:t>
      </w:r>
      <w:r>
        <w:rPr>
          <w:spacing w:val="22"/>
        </w:rPr>
        <w:t> </w:t>
      </w:r>
      <w:r>
        <w:rPr/>
        <w:t>kebakaran</w:t>
      </w:r>
      <w:r>
        <w:rPr>
          <w:spacing w:val="23"/>
        </w:rPr>
        <w:t> </w:t>
      </w:r>
      <w:r>
        <w:rPr/>
        <w:t>aktif</w:t>
      </w:r>
      <w:r>
        <w:rPr>
          <w:spacing w:val="20"/>
        </w:rPr>
        <w:t> </w:t>
      </w:r>
      <w:r>
        <w:rPr/>
        <w:t>berupa</w:t>
      </w:r>
      <w:r>
        <w:rPr>
          <w:spacing w:val="29"/>
        </w:rPr>
        <w:t> </w:t>
      </w:r>
      <w:r>
        <w:rPr>
          <w:i/>
        </w:rPr>
        <w:t>Water</w:t>
      </w:r>
      <w:r>
        <w:rPr>
          <w:i/>
          <w:spacing w:val="24"/>
        </w:rPr>
        <w:t> </w:t>
      </w:r>
      <w:r>
        <w:rPr>
          <w:i/>
        </w:rPr>
        <w:t>Spray</w:t>
      </w:r>
      <w:r>
        <w:rPr>
          <w:i/>
          <w:spacing w:val="23"/>
        </w:rPr>
        <w:t> </w:t>
      </w:r>
      <w:r>
        <w:rPr>
          <w:i/>
        </w:rPr>
        <w:t>System</w:t>
      </w:r>
      <w:r>
        <w:rPr>
          <w:i/>
          <w:spacing w:val="27"/>
        </w:rPr>
        <w:t> </w:t>
      </w:r>
      <w:r>
        <w:rPr/>
        <w:t>yang</w:t>
      </w:r>
      <w:r>
        <w:rPr>
          <w:spacing w:val="22"/>
        </w:rPr>
        <w:t> </w:t>
      </w:r>
      <w:r>
        <w:rPr/>
        <w:t>merujuk</w:t>
      </w:r>
      <w:r>
        <w:rPr>
          <w:spacing w:val="23"/>
        </w:rPr>
        <w:t> </w:t>
      </w:r>
      <w:r>
        <w:rPr/>
        <w:t>pada</w:t>
      </w:r>
      <w:r>
        <w:rPr>
          <w:spacing w:val="23"/>
        </w:rPr>
        <w:t> </w:t>
      </w:r>
      <w:r>
        <w:rPr/>
        <w:t>standar</w:t>
      </w:r>
      <w:r>
        <w:rPr>
          <w:spacing w:val="22"/>
        </w:rPr>
        <w:t> </w:t>
      </w:r>
      <w:r>
        <w:rPr/>
        <w:t>NFPA</w:t>
      </w:r>
      <w:r>
        <w:rPr>
          <w:spacing w:val="23"/>
        </w:rPr>
        <w:t> </w:t>
      </w:r>
      <w:r>
        <w:rPr/>
        <w:t>15.</w:t>
      </w:r>
      <w:r>
        <w:rPr>
          <w:spacing w:val="23"/>
        </w:rPr>
        <w:t> </w:t>
      </w:r>
      <w:r>
        <w:rPr>
          <w:spacing w:val="-2"/>
        </w:rPr>
        <w:t>Penurunan</w:t>
      </w:r>
    </w:p>
    <w:p>
      <w:pPr>
        <w:pStyle w:val="BodyText"/>
        <w:spacing w:after="0"/>
        <w:jc w:val="both"/>
        <w:sectPr>
          <w:pgSz w:w="11910" w:h="16840"/>
          <w:pgMar w:header="960" w:footer="0" w:top="1820" w:bottom="280" w:left="1559" w:right="992"/>
        </w:sectPr>
      </w:pPr>
    </w:p>
    <w:p>
      <w:pPr>
        <w:pStyle w:val="BodyText"/>
        <w:spacing w:before="81"/>
        <w:ind w:right="132"/>
        <w:jc w:val="both"/>
      </w:pPr>
      <w:r>
        <w:rPr/>
        <w:t>tingkat</w:t>
      </w:r>
      <w:r>
        <w:rPr>
          <w:spacing w:val="-6"/>
        </w:rPr>
        <w:t> </w:t>
      </w:r>
      <w:r>
        <w:rPr/>
        <w:t>risiko</w:t>
      </w:r>
      <w:r>
        <w:rPr>
          <w:spacing w:val="-5"/>
        </w:rPr>
        <w:t> </w:t>
      </w:r>
      <w:r>
        <w:rPr/>
        <w:t>pada</w:t>
      </w:r>
      <w:r>
        <w:rPr>
          <w:spacing w:val="-4"/>
        </w:rPr>
        <w:t> </w:t>
      </w:r>
      <w:r>
        <w:rPr/>
        <w:t>matriks</w:t>
      </w:r>
      <w:r>
        <w:rPr>
          <w:spacing w:val="-4"/>
        </w:rPr>
        <w:t> </w:t>
      </w:r>
      <w:r>
        <w:rPr/>
        <w:t>didasarkan</w:t>
      </w:r>
      <w:r>
        <w:rPr>
          <w:spacing w:val="-5"/>
        </w:rPr>
        <w:t> </w:t>
      </w:r>
      <w:r>
        <w:rPr/>
        <w:t>pada</w:t>
      </w:r>
      <w:r>
        <w:rPr>
          <w:spacing w:val="-4"/>
        </w:rPr>
        <w:t> </w:t>
      </w:r>
      <w:r>
        <w:rPr/>
        <w:t>justifikasi</w:t>
      </w:r>
      <w:r>
        <w:rPr>
          <w:spacing w:val="-6"/>
        </w:rPr>
        <w:t> </w:t>
      </w:r>
      <w:r>
        <w:rPr/>
        <w:t>ilmiah</w:t>
      </w:r>
      <w:r>
        <w:rPr>
          <w:spacing w:val="-5"/>
        </w:rPr>
        <w:t> </w:t>
      </w:r>
      <w:r>
        <w:rPr/>
        <w:t>bahwa</w:t>
      </w:r>
      <w:r>
        <w:rPr>
          <w:spacing w:val="-4"/>
        </w:rPr>
        <w:t> </w:t>
      </w:r>
      <w:r>
        <w:rPr/>
        <w:t>pancaran</w:t>
      </w:r>
      <w:r>
        <w:rPr>
          <w:spacing w:val="-5"/>
        </w:rPr>
        <w:t> </w:t>
      </w:r>
      <w:r>
        <w:rPr/>
        <w:t>air</w:t>
      </w:r>
      <w:r>
        <w:rPr>
          <w:spacing w:val="-8"/>
        </w:rPr>
        <w:t> </w:t>
      </w:r>
      <w:r>
        <w:rPr/>
        <w:t>dari</w:t>
      </w:r>
      <w:r>
        <w:rPr>
          <w:spacing w:val="-6"/>
        </w:rPr>
        <w:t> </w:t>
      </w:r>
      <w:r>
        <w:rPr/>
        <w:t>sistem</w:t>
      </w:r>
      <w:r>
        <w:rPr>
          <w:spacing w:val="-6"/>
        </w:rPr>
        <w:t> </w:t>
      </w:r>
      <w:r>
        <w:rPr/>
        <w:t>ini</w:t>
      </w:r>
      <w:r>
        <w:rPr>
          <w:spacing w:val="-6"/>
        </w:rPr>
        <w:t> </w:t>
      </w:r>
      <w:r>
        <w:rPr/>
        <w:t>memberikan</w:t>
      </w:r>
      <w:r>
        <w:rPr>
          <w:spacing w:val="-1"/>
        </w:rPr>
        <w:t> </w:t>
      </w:r>
      <w:r>
        <w:rPr/>
        <w:t>efek pendinginan (</w:t>
      </w:r>
      <w:r>
        <w:rPr>
          <w:i/>
        </w:rPr>
        <w:t>cooling effect</w:t>
      </w:r>
      <w:r>
        <w:rPr/>
        <w:t>) yang signifikan secara langsung pada dinding (</w:t>
      </w:r>
      <w:r>
        <w:rPr>
          <w:i/>
        </w:rPr>
        <w:t>shell</w:t>
      </w:r>
      <w:r>
        <w:rPr/>
        <w:t>) tangki sekaligus meredam radiasi termal. Mekanisme penyerapan panas ini terbukti secara efektif menahan laju eskalasi api, mencegah terjadinya kegagalan struktural pada tangki, serta meminimalisasi potensi rambatan api (</w:t>
      </w:r>
      <w:r>
        <w:rPr>
          <w:i/>
        </w:rPr>
        <w:t>fire spread</w:t>
      </w:r>
      <w:r>
        <w:rPr/>
        <w:t>) ke area di </w:t>
      </w:r>
      <w:r>
        <w:rPr>
          <w:spacing w:val="-2"/>
        </w:rPr>
        <w:t>sekitarnya.</w:t>
      </w:r>
    </w:p>
    <w:p>
      <w:pPr>
        <w:pStyle w:val="BodyText"/>
        <w:spacing w:before="1"/>
        <w:ind w:left="0"/>
      </w:pPr>
    </w:p>
    <w:p>
      <w:pPr>
        <w:pStyle w:val="Heading3"/>
        <w:jc w:val="both"/>
      </w:pPr>
      <w:r>
        <w:rPr/>
        <w:t>Water Spray</w:t>
      </w:r>
      <w:r>
        <w:rPr>
          <w:spacing w:val="1"/>
        </w:rPr>
        <w:t> </w:t>
      </w:r>
      <w:r>
        <w:rPr>
          <w:spacing w:val="-2"/>
        </w:rPr>
        <w:t>System</w:t>
      </w:r>
    </w:p>
    <w:p>
      <w:pPr>
        <w:pStyle w:val="BodyText"/>
        <w:spacing w:before="120"/>
        <w:ind w:right="143" w:firstLine="425"/>
        <w:jc w:val="both"/>
      </w:pPr>
      <w:r>
        <w:rPr/>
        <w:t>Perhitungan kebutuhan air dilakukan untuk menentukan debit minimum yang diperlukan agar sistem </w:t>
      </w:r>
      <w:r>
        <w:rPr>
          <w:i/>
        </w:rPr>
        <w:t>water spray </w:t>
      </w:r>
      <w:r>
        <w:rPr/>
        <w:t>mampu memberikan perlindungan termal pada permukaan tangki selama kondisi kebakaran. Perhitungan mengacu</w:t>
      </w:r>
      <w:r>
        <w:rPr>
          <w:spacing w:val="-1"/>
        </w:rPr>
        <w:t> </w:t>
      </w:r>
      <w:r>
        <w:rPr/>
        <w:t>pada densitas aplikasi</w:t>
      </w:r>
      <w:r>
        <w:rPr>
          <w:spacing w:val="-2"/>
        </w:rPr>
        <w:t> </w:t>
      </w:r>
      <w:r>
        <w:rPr/>
        <w:t>yang</w:t>
      </w:r>
      <w:r>
        <w:rPr>
          <w:spacing w:val="-1"/>
        </w:rPr>
        <w:t> </w:t>
      </w:r>
      <w:r>
        <w:rPr/>
        <w:t>dipersyaratkan</w:t>
      </w:r>
      <w:r>
        <w:rPr>
          <w:spacing w:val="-1"/>
        </w:rPr>
        <w:t> </w:t>
      </w:r>
      <w:r>
        <w:rPr/>
        <w:t>NFPA</w:t>
      </w:r>
      <w:r>
        <w:rPr>
          <w:spacing w:val="-1"/>
        </w:rPr>
        <w:t> </w:t>
      </w:r>
      <w:r>
        <w:rPr/>
        <w:t>15 dan</w:t>
      </w:r>
      <w:r>
        <w:rPr>
          <w:spacing w:val="-1"/>
        </w:rPr>
        <w:t> </w:t>
      </w:r>
      <w:r>
        <w:rPr/>
        <w:t>luas permukaan</w:t>
      </w:r>
      <w:r>
        <w:rPr>
          <w:spacing w:val="-1"/>
        </w:rPr>
        <w:t> </w:t>
      </w:r>
      <w:r>
        <w:rPr/>
        <w:t>tangki</w:t>
      </w:r>
      <w:r>
        <w:rPr>
          <w:spacing w:val="-2"/>
        </w:rPr>
        <w:t> </w:t>
      </w:r>
      <w:r>
        <w:rPr/>
        <w:t>yang</w:t>
      </w:r>
      <w:r>
        <w:rPr>
          <w:spacing w:val="-1"/>
        </w:rPr>
        <w:t> </w:t>
      </w:r>
      <w:r>
        <w:rPr/>
        <w:t>harus dilindungi. Berikut ini cara perhitungan kebutuhan air menggunakan Persamaan 2.1, Persamaan 2.2, dan Persamaan 2.3</w:t>
      </w:r>
    </w:p>
    <w:p>
      <w:pPr>
        <w:pStyle w:val="BodyText"/>
        <w:spacing w:before="132"/>
        <w:ind w:left="0"/>
      </w:pPr>
    </w:p>
    <w:p>
      <w:pPr>
        <w:pStyle w:val="BodyText"/>
        <w:ind w:left="8" w:right="9"/>
        <w:jc w:val="center"/>
        <w:rPr>
          <w:rFonts w:ascii="Cambria Math" w:eastAsia="Cambria Math"/>
        </w:rPr>
      </w:pPr>
      <w:r>
        <w:rPr>
          <w:rFonts w:ascii="Cambria Math" w:eastAsia="Cambria Math"/>
        </w:rPr>
        <w:t>𝐿</w:t>
      </w:r>
      <w:r>
        <w:rPr>
          <w:rFonts w:ascii="Cambria Math" w:eastAsia="Cambria Math"/>
          <w:vertAlign w:val="subscript"/>
        </w:rPr>
        <w:t>𝑝</w:t>
      </w:r>
      <w:r>
        <w:rPr>
          <w:rFonts w:ascii="Cambria Math" w:eastAsia="Cambria Math"/>
          <w:spacing w:val="44"/>
          <w:vertAlign w:val="baseline"/>
        </w:rPr>
        <w:t> </w:t>
      </w:r>
      <w:r>
        <w:rPr>
          <w:rFonts w:ascii="Cambria" w:eastAsia="Cambria"/>
          <w:vertAlign w:val="baseline"/>
        </w:rPr>
        <w:t>=</w:t>
      </w:r>
      <w:r>
        <w:rPr>
          <w:rFonts w:ascii="Cambria" w:eastAsia="Cambria"/>
          <w:spacing w:val="2"/>
          <w:vertAlign w:val="baseline"/>
        </w:rPr>
        <w:t> </w:t>
      </w:r>
      <w:r>
        <w:rPr>
          <w:rFonts w:ascii="Cambria Math" w:eastAsia="Cambria Math"/>
          <w:vertAlign w:val="baseline"/>
        </w:rPr>
        <w:t>2</w:t>
      </w:r>
      <w:r>
        <w:rPr>
          <w:rFonts w:ascii="Cambria Math" w:eastAsia="Cambria Math"/>
          <w:spacing w:val="1"/>
          <w:vertAlign w:val="baseline"/>
        </w:rPr>
        <w:t> </w:t>
      </w:r>
      <w:r>
        <w:rPr>
          <w:rFonts w:ascii="Cambria Math" w:eastAsia="Cambria Math"/>
          <w:vertAlign w:val="baseline"/>
        </w:rPr>
        <w:t>𝑥</w:t>
      </w:r>
      <w:r>
        <w:rPr>
          <w:rFonts w:ascii="Cambria Math" w:eastAsia="Cambria Math"/>
          <w:spacing w:val="6"/>
          <w:vertAlign w:val="baseline"/>
        </w:rPr>
        <w:t> </w:t>
      </w:r>
      <w:r>
        <w:rPr>
          <w:rFonts w:ascii="Cambria Math" w:eastAsia="Cambria Math"/>
          <w:vertAlign w:val="baseline"/>
        </w:rPr>
        <w:t>𝜋</w:t>
      </w:r>
      <w:r>
        <w:rPr>
          <w:rFonts w:ascii="Cambria Math" w:eastAsia="Cambria Math"/>
          <w:spacing w:val="8"/>
          <w:vertAlign w:val="baseline"/>
        </w:rPr>
        <w:t> </w:t>
      </w:r>
      <w:r>
        <w:rPr>
          <w:rFonts w:ascii="Cambria Math" w:eastAsia="Cambria Math"/>
          <w:vertAlign w:val="baseline"/>
        </w:rPr>
        <w:t>𝑥</w:t>
      </w:r>
      <w:r>
        <w:rPr>
          <w:rFonts w:ascii="Cambria Math" w:eastAsia="Cambria Math"/>
          <w:spacing w:val="6"/>
          <w:vertAlign w:val="baseline"/>
        </w:rPr>
        <w:t> </w:t>
      </w:r>
      <w:r>
        <w:rPr>
          <w:rFonts w:ascii="Cambria Math" w:eastAsia="Cambria Math"/>
          <w:vertAlign w:val="baseline"/>
        </w:rPr>
        <w:t>6</w:t>
      </w:r>
      <w:r>
        <w:rPr>
          <w:rFonts w:ascii="Cambria Math" w:eastAsia="Cambria Math"/>
          <w:spacing w:val="1"/>
          <w:vertAlign w:val="baseline"/>
        </w:rPr>
        <w:t> </w:t>
      </w:r>
      <w:r>
        <w:rPr>
          <w:rFonts w:ascii="Cambria Math" w:eastAsia="Cambria Math"/>
          <w:vertAlign w:val="baseline"/>
        </w:rPr>
        <w:t>𝑥</w:t>
      </w:r>
      <w:r>
        <w:rPr>
          <w:rFonts w:ascii="Cambria Math" w:eastAsia="Cambria Math"/>
          <w:spacing w:val="6"/>
          <w:vertAlign w:val="baseline"/>
        </w:rPr>
        <w:t> </w:t>
      </w:r>
      <w:r>
        <w:rPr>
          <w:rFonts w:ascii="Cambria Math" w:eastAsia="Cambria Math"/>
          <w:spacing w:val="-4"/>
          <w:vertAlign w:val="baseline"/>
        </w:rPr>
        <w:t>13,3</w:t>
      </w:r>
    </w:p>
    <w:p>
      <w:pPr>
        <w:pStyle w:val="BodyText"/>
        <w:spacing w:before="166"/>
        <w:ind w:left="5" w:right="14"/>
        <w:jc w:val="center"/>
        <w:rPr>
          <w:rFonts w:ascii="Cambria Math" w:eastAsia="Cambria Math"/>
        </w:rPr>
      </w:pPr>
      <w:r>
        <w:rPr>
          <w:rFonts w:ascii="Cambria Math" w:eastAsia="Cambria Math"/>
        </w:rPr>
        <w:t>𝐿</w:t>
      </w:r>
      <w:r>
        <w:rPr>
          <w:rFonts w:ascii="Cambria Math" w:eastAsia="Cambria Math"/>
          <w:vertAlign w:val="subscript"/>
        </w:rPr>
        <w:t>𝑝</w:t>
      </w:r>
      <w:r>
        <w:rPr>
          <w:rFonts w:ascii="Cambria Math" w:eastAsia="Cambria Math"/>
          <w:spacing w:val="68"/>
          <w:w w:val="150"/>
          <w:vertAlign w:val="baseline"/>
        </w:rPr>
        <w:t> </w:t>
      </w:r>
      <w:r>
        <w:rPr>
          <w:rFonts w:ascii="Cambria" w:eastAsia="Cambria"/>
          <w:vertAlign w:val="baseline"/>
        </w:rPr>
        <w:t>=</w:t>
      </w:r>
      <w:r>
        <w:rPr>
          <w:rFonts w:ascii="Cambria" w:eastAsia="Cambria"/>
          <w:spacing w:val="1"/>
          <w:vertAlign w:val="baseline"/>
        </w:rPr>
        <w:t> </w:t>
      </w:r>
      <w:r>
        <w:rPr>
          <w:rFonts w:ascii="Cambria Math" w:eastAsia="Cambria Math"/>
          <w:vertAlign w:val="baseline"/>
        </w:rPr>
        <w:t>501,144</w:t>
      </w:r>
      <w:r>
        <w:rPr>
          <w:rFonts w:ascii="Cambria Math" w:eastAsia="Cambria Math"/>
          <w:spacing w:val="7"/>
          <w:vertAlign w:val="baseline"/>
        </w:rPr>
        <w:t> </w:t>
      </w:r>
      <w:r>
        <w:rPr>
          <w:rFonts w:ascii="Cambria Math" w:eastAsia="Cambria Math"/>
          <w:spacing w:val="-5"/>
          <w:vertAlign w:val="baseline"/>
        </w:rPr>
        <w:t>𝑚</w:t>
      </w:r>
      <w:r>
        <w:rPr>
          <w:rFonts w:ascii="Cambria Math" w:eastAsia="Cambria Math"/>
          <w:spacing w:val="-5"/>
          <w:vertAlign w:val="superscript"/>
        </w:rPr>
        <w:t>2</w:t>
      </w:r>
    </w:p>
    <w:p>
      <w:pPr>
        <w:pStyle w:val="BodyText"/>
        <w:spacing w:before="161"/>
        <w:ind w:left="0"/>
        <w:rPr>
          <w:rFonts w:ascii="Cambria Math"/>
        </w:rPr>
      </w:pPr>
    </w:p>
    <w:p>
      <w:pPr>
        <w:spacing w:before="0"/>
        <w:ind w:left="5" w:right="9" w:firstLine="0"/>
        <w:jc w:val="center"/>
        <w:rPr>
          <w:rFonts w:ascii="Cambria Math" w:eastAsia="Cambria Math"/>
          <w:sz w:val="20"/>
        </w:rPr>
      </w:pPr>
      <w:r>
        <w:rPr>
          <w:rFonts w:ascii="Cambria Math" w:eastAsia="Cambria Math"/>
          <w:w w:val="105"/>
          <w:sz w:val="20"/>
        </w:rPr>
        <w:t>𝑄</w:t>
      </w:r>
      <w:r>
        <w:rPr>
          <w:rFonts w:ascii="Cambria Math" w:eastAsia="Cambria Math"/>
          <w:spacing w:val="9"/>
          <w:w w:val="105"/>
          <w:sz w:val="20"/>
        </w:rPr>
        <w:t> </w:t>
      </w:r>
      <w:r>
        <w:rPr>
          <w:rFonts w:ascii="Cambria Math" w:eastAsia="Cambria Math"/>
          <w:w w:val="105"/>
          <w:sz w:val="20"/>
        </w:rPr>
        <w:t>=</w:t>
      </w:r>
      <w:r>
        <w:rPr>
          <w:rFonts w:ascii="Cambria Math" w:eastAsia="Cambria Math"/>
          <w:spacing w:val="49"/>
          <w:w w:val="105"/>
          <w:sz w:val="20"/>
        </w:rPr>
        <w:t> </w:t>
      </w:r>
      <w:r>
        <w:rPr>
          <w:rFonts w:ascii="Cambria Math" w:eastAsia="Cambria Math"/>
          <w:w w:val="105"/>
          <w:sz w:val="20"/>
        </w:rPr>
        <w:t>𝐿</w:t>
      </w:r>
      <w:r>
        <w:rPr>
          <w:rFonts w:ascii="Cambria Math" w:eastAsia="Cambria Math"/>
          <w:w w:val="105"/>
          <w:sz w:val="20"/>
          <w:vertAlign w:val="subscript"/>
        </w:rPr>
        <w:t>𝑝</w:t>
      </w:r>
      <w:r>
        <w:rPr>
          <w:rFonts w:ascii="Cambria Math" w:eastAsia="Cambria Math"/>
          <w:spacing w:val="35"/>
          <w:w w:val="105"/>
          <w:sz w:val="20"/>
          <w:vertAlign w:val="baseline"/>
        </w:rPr>
        <w:t> </w:t>
      </w:r>
      <w:r>
        <w:rPr>
          <w:rFonts w:ascii="Cambria Math" w:eastAsia="Cambria Math"/>
          <w:w w:val="105"/>
          <w:sz w:val="20"/>
          <w:vertAlign w:val="baseline"/>
        </w:rPr>
        <w:t>𝑥</w:t>
      </w:r>
      <w:r>
        <w:rPr>
          <w:rFonts w:ascii="Cambria Math" w:eastAsia="Cambria Math"/>
          <w:spacing w:val="-1"/>
          <w:w w:val="105"/>
          <w:sz w:val="20"/>
          <w:vertAlign w:val="baseline"/>
        </w:rPr>
        <w:t> </w:t>
      </w:r>
      <w:r>
        <w:rPr>
          <w:rFonts w:ascii="Cambria Math" w:eastAsia="Cambria Math"/>
          <w:spacing w:val="-5"/>
          <w:w w:val="105"/>
          <w:sz w:val="20"/>
          <w:vertAlign w:val="baseline"/>
        </w:rPr>
        <w:t>𝑄</w:t>
      </w:r>
      <w:r>
        <w:rPr>
          <w:rFonts w:ascii="Cambria Math" w:eastAsia="Cambria Math"/>
          <w:spacing w:val="-5"/>
          <w:w w:val="105"/>
          <w:sz w:val="20"/>
          <w:vertAlign w:val="subscript"/>
        </w:rPr>
        <w:t>𝑚</w:t>
      </w:r>
    </w:p>
    <w:p>
      <w:pPr>
        <w:pStyle w:val="BodyText"/>
        <w:spacing w:before="26"/>
        <w:ind w:left="8" w:right="9"/>
        <w:jc w:val="center"/>
        <w:rPr>
          <w:rFonts w:ascii="Cambria Math" w:eastAsia="Cambria Math"/>
        </w:rPr>
      </w:pPr>
      <w:r>
        <w:rPr>
          <w:rFonts w:ascii="Cambria Math" w:eastAsia="Cambria Math"/>
        </w:rPr>
        <w:t>𝑄</w:t>
      </w:r>
      <w:r>
        <w:rPr>
          <w:rFonts w:ascii="Cambria Math" w:eastAsia="Cambria Math"/>
          <w:spacing w:val="16"/>
        </w:rPr>
        <w:t> </w:t>
      </w:r>
      <w:r>
        <w:rPr>
          <w:rFonts w:ascii="Cambria Math" w:eastAsia="Cambria Math"/>
        </w:rPr>
        <w:t>=</w:t>
      </w:r>
      <w:r>
        <w:rPr>
          <w:rFonts w:ascii="Cambria Math" w:eastAsia="Cambria Math"/>
          <w:spacing w:val="53"/>
        </w:rPr>
        <w:t> </w:t>
      </w:r>
      <w:r>
        <w:rPr>
          <w:rFonts w:ascii="Cambria Math" w:eastAsia="Cambria Math"/>
        </w:rPr>
        <w:t>501,144</w:t>
      </w:r>
      <w:r>
        <w:rPr>
          <w:rFonts w:ascii="Cambria Math" w:eastAsia="Cambria Math"/>
          <w:spacing w:val="4"/>
        </w:rPr>
        <w:t> </w:t>
      </w:r>
      <w:r>
        <w:rPr>
          <w:rFonts w:ascii="Cambria Math" w:eastAsia="Cambria Math"/>
        </w:rPr>
        <w:t>𝑥</w:t>
      </w:r>
      <w:r>
        <w:rPr>
          <w:rFonts w:ascii="Cambria Math" w:eastAsia="Cambria Math"/>
          <w:spacing w:val="3"/>
        </w:rPr>
        <w:t> </w:t>
      </w:r>
      <w:r>
        <w:rPr>
          <w:rFonts w:ascii="Cambria Math" w:eastAsia="Cambria Math"/>
          <w:spacing w:val="-4"/>
        </w:rPr>
        <w:t>10,2</w:t>
      </w:r>
    </w:p>
    <w:p>
      <w:pPr>
        <w:pStyle w:val="BodyText"/>
        <w:ind w:left="5" w:right="9"/>
        <w:jc w:val="center"/>
        <w:rPr>
          <w:rFonts w:ascii="Cambria Math" w:eastAsia="Cambria Math"/>
        </w:rPr>
      </w:pPr>
      <w:r>
        <w:rPr>
          <w:rFonts w:ascii="Cambria Math" w:eastAsia="Cambria Math"/>
        </w:rPr>
        <w:t>𝑄</w:t>
      </w:r>
      <w:r>
        <w:rPr>
          <w:rFonts w:ascii="Cambria Math" w:eastAsia="Cambria Math"/>
          <w:spacing w:val="15"/>
        </w:rPr>
        <w:t> </w:t>
      </w:r>
      <w:r>
        <w:rPr>
          <w:rFonts w:ascii="Cambria Math" w:eastAsia="Cambria Math"/>
        </w:rPr>
        <w:t>=</w:t>
      </w:r>
      <w:r>
        <w:rPr>
          <w:rFonts w:ascii="Cambria Math" w:eastAsia="Cambria Math"/>
          <w:spacing w:val="52"/>
        </w:rPr>
        <w:t> </w:t>
      </w:r>
      <w:r>
        <w:rPr>
          <w:rFonts w:ascii="Cambria Math" w:eastAsia="Cambria Math"/>
        </w:rPr>
        <w:t>5111,6688</w:t>
      </w:r>
      <w:r>
        <w:rPr>
          <w:rFonts w:ascii="Cambria Math" w:eastAsia="Cambria Math"/>
          <w:spacing w:val="3"/>
        </w:rPr>
        <w:t> </w:t>
      </w:r>
      <w:r>
        <w:rPr>
          <w:rFonts w:ascii="Cambria Math" w:eastAsia="Cambria Math"/>
          <w:spacing w:val="-5"/>
        </w:rPr>
        <w:t>𝐿𝑝𝑚</w:t>
      </w:r>
    </w:p>
    <w:p>
      <w:pPr>
        <w:pStyle w:val="BodyText"/>
        <w:spacing w:before="1"/>
        <w:ind w:left="14" w:right="9"/>
        <w:jc w:val="center"/>
        <w:rPr>
          <w:rFonts w:ascii="Cambria Math" w:eastAsia="Cambria Math"/>
        </w:rPr>
      </w:pPr>
      <w:r>
        <w:rPr>
          <w:rFonts w:ascii="Cambria Math" w:eastAsia="Cambria Math"/>
        </w:rPr>
        <w:t>𝑄</w:t>
      </w:r>
      <w:r>
        <w:rPr>
          <w:rFonts w:ascii="Cambria Math" w:eastAsia="Cambria Math"/>
          <w:spacing w:val="11"/>
        </w:rPr>
        <w:t> </w:t>
      </w:r>
      <w:r>
        <w:rPr>
          <w:rFonts w:ascii="Cambria Math" w:eastAsia="Cambria Math"/>
        </w:rPr>
        <w:t>=</w:t>
      </w:r>
      <w:r>
        <w:rPr>
          <w:rFonts w:ascii="Cambria Math" w:eastAsia="Cambria Math"/>
          <w:spacing w:val="52"/>
        </w:rPr>
        <w:t> </w:t>
      </w:r>
      <w:r>
        <w:rPr>
          <w:rFonts w:ascii="Cambria Math" w:eastAsia="Cambria Math"/>
        </w:rPr>
        <w:t>0,08519</w:t>
      </w:r>
      <w:r>
        <w:rPr>
          <w:rFonts w:ascii="Cambria Math" w:eastAsia="Cambria Math"/>
          <w:spacing w:val="4"/>
        </w:rPr>
        <w:t> </w:t>
      </w:r>
      <w:r>
        <w:rPr>
          <w:rFonts w:ascii="Cambria Math" w:eastAsia="Cambria Math"/>
          <w:spacing w:val="-4"/>
        </w:rPr>
        <w:t>𝑚</w:t>
      </w:r>
      <w:r>
        <w:rPr>
          <w:rFonts w:ascii="Cambria Math" w:eastAsia="Cambria Math"/>
          <w:spacing w:val="-4"/>
          <w:vertAlign w:val="superscript"/>
        </w:rPr>
        <w:t>3</w:t>
      </w:r>
      <w:r>
        <w:rPr>
          <w:rFonts w:ascii="Cambria Math" w:eastAsia="Cambria Math"/>
          <w:spacing w:val="-4"/>
          <w:vertAlign w:val="baseline"/>
        </w:rPr>
        <w:t>/𝑠</w:t>
      </w:r>
    </w:p>
    <w:p>
      <w:pPr>
        <w:pStyle w:val="BodyText"/>
        <w:ind w:left="0"/>
        <w:rPr>
          <w:rFonts w:ascii="Cambria Math"/>
        </w:rPr>
      </w:pPr>
    </w:p>
    <w:p>
      <w:pPr>
        <w:pStyle w:val="BodyText"/>
        <w:spacing w:before="26"/>
        <w:ind w:left="0"/>
        <w:rPr>
          <w:rFonts w:ascii="Cambria Math"/>
        </w:rPr>
      </w:pPr>
    </w:p>
    <w:p>
      <w:pPr>
        <w:pStyle w:val="BodyText"/>
        <w:ind w:left="6" w:right="9"/>
        <w:jc w:val="center"/>
        <w:rPr>
          <w:rFonts w:ascii="Cambria"/>
        </w:rPr>
      </w:pPr>
      <w:r>
        <w:rPr>
          <w:rFonts w:ascii="Cambria"/>
        </w:rPr>
        <w:t>V = Q x</w:t>
      </w:r>
      <w:r>
        <w:rPr>
          <w:rFonts w:ascii="Cambria"/>
          <w:spacing w:val="-1"/>
        </w:rPr>
        <w:t> </w:t>
      </w:r>
      <w:r>
        <w:rPr>
          <w:rFonts w:ascii="Cambria"/>
          <w:spacing w:val="-10"/>
        </w:rPr>
        <w:t>T</w:t>
      </w:r>
    </w:p>
    <w:p>
      <w:pPr>
        <w:pStyle w:val="BodyText"/>
        <w:spacing w:before="141"/>
        <w:ind w:left="5" w:right="11"/>
        <w:jc w:val="center"/>
        <w:rPr>
          <w:rFonts w:ascii="Cambria"/>
        </w:rPr>
      </w:pPr>
      <w:r>
        <w:rPr>
          <w:rFonts w:ascii="Cambria"/>
        </w:rPr>
        <w:t>V</w:t>
      </w:r>
      <w:r>
        <w:rPr>
          <w:rFonts w:ascii="Cambria"/>
          <w:spacing w:val="-4"/>
        </w:rPr>
        <w:t> </w:t>
      </w:r>
      <w:r>
        <w:rPr>
          <w:rFonts w:ascii="Cambria"/>
        </w:rPr>
        <w:t>=</w:t>
      </w:r>
      <w:r>
        <w:rPr>
          <w:rFonts w:ascii="Cambria"/>
          <w:spacing w:val="-2"/>
        </w:rPr>
        <w:t> </w:t>
      </w:r>
      <w:r>
        <w:rPr>
          <w:rFonts w:ascii="Cambria"/>
        </w:rPr>
        <w:t>0,08519</w:t>
      </w:r>
      <w:r>
        <w:rPr>
          <w:rFonts w:ascii="Cambria"/>
          <w:spacing w:val="-2"/>
        </w:rPr>
        <w:t> </w:t>
      </w:r>
      <w:r>
        <w:rPr>
          <w:rFonts w:ascii="Cambria"/>
        </w:rPr>
        <w:t>x</w:t>
      </w:r>
      <w:r>
        <w:rPr>
          <w:rFonts w:ascii="Cambria"/>
          <w:spacing w:val="-2"/>
        </w:rPr>
        <w:t> </w:t>
      </w:r>
      <w:r>
        <w:rPr>
          <w:rFonts w:ascii="Cambria"/>
          <w:spacing w:val="-4"/>
        </w:rPr>
        <w:t>3600</w:t>
      </w:r>
    </w:p>
    <w:p>
      <w:pPr>
        <w:pStyle w:val="BodyText"/>
        <w:spacing w:before="141"/>
        <w:ind w:left="5" w:right="14"/>
        <w:jc w:val="center"/>
        <w:rPr>
          <w:rFonts w:ascii="Cambria Math" w:eastAsia="Cambria Math"/>
        </w:rPr>
      </w:pPr>
      <w:r>
        <w:rPr>
          <w:rFonts w:ascii="Cambria" w:eastAsia="Cambria"/>
        </w:rPr>
        <w:t>V</w:t>
      </w:r>
      <w:r>
        <w:rPr>
          <w:rFonts w:ascii="Cambria" w:eastAsia="Cambria"/>
          <w:spacing w:val="-2"/>
        </w:rPr>
        <w:t> </w:t>
      </w:r>
      <w:r>
        <w:rPr>
          <w:rFonts w:ascii="Cambria" w:eastAsia="Cambria"/>
        </w:rPr>
        <w:t>=</w:t>
      </w:r>
      <w:r>
        <w:rPr>
          <w:rFonts w:ascii="Cambria" w:eastAsia="Cambria"/>
          <w:spacing w:val="-2"/>
        </w:rPr>
        <w:t> </w:t>
      </w:r>
      <w:r>
        <w:rPr>
          <w:rFonts w:ascii="Cambria" w:eastAsia="Cambria"/>
        </w:rPr>
        <w:t>306,6</w:t>
      </w:r>
      <w:r>
        <w:rPr>
          <w:rFonts w:ascii="Cambria" w:eastAsia="Cambria"/>
          <w:spacing w:val="5"/>
        </w:rPr>
        <w:t> </w:t>
      </w:r>
      <w:r>
        <w:rPr>
          <w:rFonts w:ascii="Cambria Math" w:eastAsia="Cambria Math"/>
          <w:spacing w:val="-5"/>
        </w:rPr>
        <w:t>𝑚</w:t>
      </w:r>
      <w:r>
        <w:rPr>
          <w:rFonts w:ascii="Cambria Math" w:eastAsia="Cambria Math"/>
          <w:spacing w:val="-5"/>
          <w:vertAlign w:val="superscript"/>
        </w:rPr>
        <w:t>3</w:t>
      </w:r>
    </w:p>
    <w:p>
      <w:pPr>
        <w:pStyle w:val="BodyText"/>
        <w:spacing w:before="25"/>
        <w:ind w:right="136"/>
        <w:jc w:val="both"/>
        <w:rPr>
          <w:rFonts w:ascii="Cambria Math" w:eastAsia="Cambria Math"/>
        </w:rPr>
      </w:pPr>
      <w:r>
        <w:rPr/>
        <w:t>Berdasarkan hasil perhitungan diperoleh kebutuhan air sebesar 306,6 </w:t>
      </w:r>
      <w:r>
        <w:rPr>
          <w:rFonts w:ascii="Cambria Math" w:eastAsia="Cambria Math"/>
        </w:rPr>
        <w:t>𝑚</w:t>
      </w:r>
      <w:r>
        <w:rPr>
          <w:rFonts w:ascii="Cambria Math" w:eastAsia="Cambria Math"/>
          <w:vertAlign w:val="superscript"/>
        </w:rPr>
        <w:t>3</w:t>
      </w:r>
      <w:r>
        <w:rPr>
          <w:rFonts w:ascii="Cambria Math" w:eastAsia="Cambria Math"/>
          <w:vertAlign w:val="baseline"/>
        </w:rPr>
        <w:t> </w:t>
      </w:r>
      <w:r>
        <w:rPr>
          <w:vertAlign w:val="baseline"/>
        </w:rPr>
        <w:t>untuk satu tangki karena total ada dua tangki maka total kebutuhannya 613,368 </w:t>
      </w:r>
      <w:r>
        <w:rPr>
          <w:rFonts w:ascii="Cambria Math" w:eastAsia="Cambria Math"/>
          <w:vertAlign w:val="baseline"/>
        </w:rPr>
        <w:t>𝑚</w:t>
      </w:r>
      <w:r>
        <w:rPr>
          <w:rFonts w:ascii="Cambria Math" w:eastAsia="Cambria Math"/>
          <w:vertAlign w:val="superscript"/>
        </w:rPr>
        <w:t>3</w:t>
      </w:r>
    </w:p>
    <w:p>
      <w:pPr>
        <w:pStyle w:val="Heading2"/>
        <w:numPr>
          <w:ilvl w:val="0"/>
          <w:numId w:val="1"/>
        </w:numPr>
        <w:tabs>
          <w:tab w:pos="566" w:val="left" w:leader="none"/>
        </w:tabs>
        <w:spacing w:line="240" w:lineRule="auto" w:before="220" w:after="0"/>
        <w:ind w:left="566" w:right="0" w:hanging="425"/>
        <w:jc w:val="left"/>
      </w:pPr>
      <w:r>
        <w:rPr>
          <w:spacing w:val="-2"/>
        </w:rPr>
        <w:t>KESIMPULAN</w:t>
      </w:r>
    </w:p>
    <w:p>
      <w:pPr>
        <w:pStyle w:val="ListParagraph"/>
        <w:numPr>
          <w:ilvl w:val="1"/>
          <w:numId w:val="1"/>
        </w:numPr>
        <w:tabs>
          <w:tab w:pos="861" w:val="left" w:leader="none"/>
        </w:tabs>
        <w:spacing w:line="240" w:lineRule="auto" w:before="120" w:after="0"/>
        <w:ind w:left="861" w:right="129" w:hanging="360"/>
        <w:jc w:val="both"/>
        <w:rPr>
          <w:i/>
          <w:sz w:val="20"/>
        </w:rPr>
      </w:pPr>
      <w:r>
        <w:rPr>
          <w:sz w:val="20"/>
        </w:rPr>
        <w:t>Berdasarkan</w:t>
      </w:r>
      <w:r>
        <w:rPr>
          <w:spacing w:val="-13"/>
          <w:sz w:val="20"/>
        </w:rPr>
        <w:t> </w:t>
      </w:r>
      <w:r>
        <w:rPr>
          <w:sz w:val="20"/>
        </w:rPr>
        <w:t>hasil</w:t>
      </w:r>
      <w:r>
        <w:rPr>
          <w:spacing w:val="-12"/>
          <w:sz w:val="20"/>
        </w:rPr>
        <w:t> </w:t>
      </w:r>
      <w:r>
        <w:rPr>
          <w:i/>
          <w:sz w:val="20"/>
        </w:rPr>
        <w:t>Fire</w:t>
      </w:r>
      <w:r>
        <w:rPr>
          <w:i/>
          <w:spacing w:val="-13"/>
          <w:sz w:val="20"/>
        </w:rPr>
        <w:t> </w:t>
      </w:r>
      <w:r>
        <w:rPr>
          <w:i/>
          <w:sz w:val="20"/>
        </w:rPr>
        <w:t>Risk</w:t>
      </w:r>
      <w:r>
        <w:rPr>
          <w:i/>
          <w:spacing w:val="-12"/>
          <w:sz w:val="20"/>
        </w:rPr>
        <w:t> </w:t>
      </w:r>
      <w:r>
        <w:rPr>
          <w:i/>
          <w:sz w:val="20"/>
        </w:rPr>
        <w:t>Assessment</w:t>
      </w:r>
      <w:r>
        <w:rPr>
          <w:sz w:val="20"/>
        </w:rPr>
        <w:t>,</w:t>
      </w:r>
      <w:r>
        <w:rPr>
          <w:spacing w:val="-13"/>
          <w:sz w:val="20"/>
        </w:rPr>
        <w:t> </w:t>
      </w:r>
      <w:r>
        <w:rPr>
          <w:sz w:val="20"/>
        </w:rPr>
        <w:t>skenario</w:t>
      </w:r>
      <w:r>
        <w:rPr>
          <w:spacing w:val="-12"/>
          <w:sz w:val="20"/>
        </w:rPr>
        <w:t> </w:t>
      </w:r>
      <w:r>
        <w:rPr>
          <w:sz w:val="20"/>
        </w:rPr>
        <w:t>tumpahan</w:t>
      </w:r>
      <w:r>
        <w:rPr>
          <w:spacing w:val="-13"/>
          <w:sz w:val="20"/>
        </w:rPr>
        <w:t> </w:t>
      </w:r>
      <w:r>
        <w:rPr>
          <w:sz w:val="20"/>
        </w:rPr>
        <w:t>cairan</w:t>
      </w:r>
      <w:r>
        <w:rPr>
          <w:spacing w:val="-12"/>
          <w:sz w:val="20"/>
        </w:rPr>
        <w:t> </w:t>
      </w:r>
      <w:r>
        <w:rPr>
          <w:sz w:val="20"/>
        </w:rPr>
        <w:t>akibat</w:t>
      </w:r>
      <w:r>
        <w:rPr>
          <w:spacing w:val="-13"/>
          <w:sz w:val="20"/>
        </w:rPr>
        <w:t> </w:t>
      </w:r>
      <w:r>
        <w:rPr>
          <w:i/>
          <w:sz w:val="20"/>
        </w:rPr>
        <w:t>overfilling</w:t>
      </w:r>
      <w:r>
        <w:rPr>
          <w:i/>
          <w:spacing w:val="-12"/>
          <w:sz w:val="20"/>
        </w:rPr>
        <w:t> </w:t>
      </w:r>
      <w:r>
        <w:rPr>
          <w:sz w:val="20"/>
        </w:rPr>
        <w:t>saat</w:t>
      </w:r>
      <w:r>
        <w:rPr>
          <w:spacing w:val="-13"/>
          <w:sz w:val="20"/>
        </w:rPr>
        <w:t> </w:t>
      </w:r>
      <w:r>
        <w:rPr>
          <w:sz w:val="20"/>
        </w:rPr>
        <w:t>pengisian</w:t>
      </w:r>
      <w:r>
        <w:rPr>
          <w:spacing w:val="-12"/>
          <w:sz w:val="20"/>
        </w:rPr>
        <w:t> </w:t>
      </w:r>
      <w:r>
        <w:rPr>
          <w:sz w:val="20"/>
        </w:rPr>
        <w:t>tangki memiliki tingkat risiko awal </w:t>
      </w:r>
      <w:r>
        <w:rPr>
          <w:i/>
          <w:sz w:val="20"/>
        </w:rPr>
        <w:t>Moderate to High </w:t>
      </w:r>
      <w:r>
        <w:rPr>
          <w:sz w:val="20"/>
        </w:rPr>
        <w:t>dengan tingkat kemungkinan kejadian (</w:t>
      </w:r>
      <w:r>
        <w:rPr>
          <w:i/>
          <w:sz w:val="20"/>
        </w:rPr>
        <w:t>likelihood</w:t>
      </w:r>
      <w:r>
        <w:rPr>
          <w:sz w:val="20"/>
        </w:rPr>
        <w:t>) mungkin dan tingkat keparahan (</w:t>
      </w:r>
      <w:r>
        <w:rPr>
          <w:i/>
          <w:sz w:val="20"/>
        </w:rPr>
        <w:t>severity</w:t>
      </w:r>
      <w:r>
        <w:rPr>
          <w:sz w:val="20"/>
        </w:rPr>
        <w:t>) tinggi. Untuk menurunkan tingkat risiko tersebut, direkomendasikan pemasangan </w:t>
      </w:r>
      <w:r>
        <w:rPr>
          <w:i/>
          <w:sz w:val="20"/>
        </w:rPr>
        <w:t>water spray system </w:t>
      </w:r>
      <w:r>
        <w:rPr>
          <w:sz w:val="20"/>
        </w:rPr>
        <w:t>sebagai sistem pendingin tangki ketika terjadi kebakaran. Hasil evaluasi menunjukkan bahwa penerapan </w:t>
      </w:r>
      <w:r>
        <w:rPr>
          <w:i/>
          <w:sz w:val="20"/>
        </w:rPr>
        <w:t>water spray system </w:t>
      </w:r>
      <w:r>
        <w:rPr>
          <w:sz w:val="20"/>
        </w:rPr>
        <w:t>mampu menurunkan tingkat konsekuensi dari kategori tinggi menjadi sedang sehingga tingkat risiko menurun menjadi </w:t>
      </w:r>
      <w:r>
        <w:rPr>
          <w:i/>
          <w:spacing w:val="-2"/>
          <w:sz w:val="20"/>
        </w:rPr>
        <w:t>Moderate.</w:t>
      </w:r>
    </w:p>
    <w:p>
      <w:pPr>
        <w:pStyle w:val="ListParagraph"/>
        <w:numPr>
          <w:ilvl w:val="1"/>
          <w:numId w:val="1"/>
        </w:numPr>
        <w:tabs>
          <w:tab w:pos="861" w:val="left" w:leader="none"/>
        </w:tabs>
        <w:spacing w:line="240" w:lineRule="auto" w:before="1" w:after="0"/>
        <w:ind w:left="861" w:right="140" w:hanging="360"/>
        <w:jc w:val="both"/>
        <w:rPr>
          <w:sz w:val="20"/>
        </w:rPr>
      </w:pPr>
      <w:r>
        <w:rPr>
          <w:sz w:val="20"/>
        </w:rPr>
        <w:t>Hasil</w:t>
      </w:r>
      <w:r>
        <w:rPr>
          <w:spacing w:val="-13"/>
          <w:sz w:val="20"/>
        </w:rPr>
        <w:t> </w:t>
      </w:r>
      <w:r>
        <w:rPr>
          <w:sz w:val="20"/>
        </w:rPr>
        <w:t>perancangan</w:t>
      </w:r>
      <w:r>
        <w:rPr>
          <w:spacing w:val="-12"/>
          <w:sz w:val="20"/>
        </w:rPr>
        <w:t> </w:t>
      </w:r>
      <w:r>
        <w:rPr>
          <w:sz w:val="20"/>
        </w:rPr>
        <w:t>sistem</w:t>
      </w:r>
      <w:r>
        <w:rPr>
          <w:spacing w:val="-11"/>
          <w:sz w:val="20"/>
        </w:rPr>
        <w:t> </w:t>
      </w:r>
      <w:r>
        <w:rPr>
          <w:i/>
          <w:sz w:val="20"/>
        </w:rPr>
        <w:t>water</w:t>
      </w:r>
      <w:r>
        <w:rPr>
          <w:i/>
          <w:spacing w:val="-12"/>
          <w:sz w:val="20"/>
        </w:rPr>
        <w:t> </w:t>
      </w:r>
      <w:r>
        <w:rPr>
          <w:i/>
          <w:sz w:val="20"/>
        </w:rPr>
        <w:t>spray</w:t>
      </w:r>
      <w:r>
        <w:rPr>
          <w:i/>
          <w:spacing w:val="-9"/>
          <w:sz w:val="20"/>
        </w:rPr>
        <w:t> </w:t>
      </w:r>
      <w:r>
        <w:rPr>
          <w:sz w:val="20"/>
        </w:rPr>
        <w:t>menunjukkan</w:t>
      </w:r>
      <w:r>
        <w:rPr>
          <w:spacing w:val="-11"/>
          <w:sz w:val="20"/>
        </w:rPr>
        <w:t> </w:t>
      </w:r>
      <w:r>
        <w:rPr>
          <w:sz w:val="20"/>
        </w:rPr>
        <w:t>bahwa</w:t>
      </w:r>
      <w:r>
        <w:rPr>
          <w:spacing w:val="-10"/>
          <w:sz w:val="20"/>
        </w:rPr>
        <w:t> </w:t>
      </w:r>
      <w:r>
        <w:rPr>
          <w:sz w:val="20"/>
        </w:rPr>
        <w:t>kebutuhan</w:t>
      </w:r>
      <w:r>
        <w:rPr>
          <w:spacing w:val="-11"/>
          <w:sz w:val="20"/>
        </w:rPr>
        <w:t> </w:t>
      </w:r>
      <w:r>
        <w:rPr>
          <w:sz w:val="20"/>
        </w:rPr>
        <w:t>air</w:t>
      </w:r>
      <w:r>
        <w:rPr>
          <w:spacing w:val="-13"/>
          <w:sz w:val="20"/>
        </w:rPr>
        <w:t> </w:t>
      </w:r>
      <w:r>
        <w:rPr>
          <w:sz w:val="20"/>
        </w:rPr>
        <w:t>untuk</w:t>
      </w:r>
      <w:r>
        <w:rPr>
          <w:spacing w:val="-11"/>
          <w:sz w:val="20"/>
        </w:rPr>
        <w:t> </w:t>
      </w:r>
      <w:r>
        <w:rPr>
          <w:sz w:val="20"/>
        </w:rPr>
        <w:t>satu</w:t>
      </w:r>
      <w:r>
        <w:rPr>
          <w:spacing w:val="-12"/>
          <w:sz w:val="20"/>
        </w:rPr>
        <w:t> </w:t>
      </w:r>
      <w:r>
        <w:rPr>
          <w:sz w:val="20"/>
        </w:rPr>
        <w:t>tangki</w:t>
      </w:r>
      <w:r>
        <w:rPr>
          <w:spacing w:val="-12"/>
          <w:sz w:val="20"/>
        </w:rPr>
        <w:t> </w:t>
      </w:r>
      <w:r>
        <w:rPr>
          <w:sz w:val="20"/>
        </w:rPr>
        <w:t>sebesar</w:t>
      </w:r>
      <w:r>
        <w:rPr>
          <w:spacing w:val="-13"/>
          <w:sz w:val="20"/>
        </w:rPr>
        <w:t> </w:t>
      </w:r>
      <w:r>
        <w:rPr>
          <w:sz w:val="20"/>
        </w:rPr>
        <w:t>306,6 m³. Terdapat dua tangki yang memerlukan perlindungan, sehingga total kebutuhan air yang harus disediakan mencapai 613,368 m³. Kebutuhan air tersebut diharapkan mampu memberikan pendinginan yang</w:t>
      </w:r>
      <w:r>
        <w:rPr>
          <w:spacing w:val="-7"/>
          <w:sz w:val="20"/>
        </w:rPr>
        <w:t> </w:t>
      </w:r>
      <w:r>
        <w:rPr>
          <w:sz w:val="20"/>
        </w:rPr>
        <w:t>memadai</w:t>
      </w:r>
      <w:r>
        <w:rPr>
          <w:spacing w:val="-8"/>
          <w:sz w:val="20"/>
        </w:rPr>
        <w:t> </w:t>
      </w:r>
      <w:r>
        <w:rPr>
          <w:sz w:val="20"/>
        </w:rPr>
        <w:t>pada</w:t>
      </w:r>
      <w:r>
        <w:rPr>
          <w:spacing w:val="-6"/>
          <w:sz w:val="20"/>
        </w:rPr>
        <w:t> </w:t>
      </w:r>
      <w:r>
        <w:rPr>
          <w:sz w:val="20"/>
        </w:rPr>
        <w:t>permukaan</w:t>
      </w:r>
      <w:r>
        <w:rPr>
          <w:spacing w:val="-7"/>
          <w:sz w:val="20"/>
        </w:rPr>
        <w:t> </w:t>
      </w:r>
      <w:r>
        <w:rPr>
          <w:sz w:val="20"/>
        </w:rPr>
        <w:t>tangki</w:t>
      </w:r>
      <w:r>
        <w:rPr>
          <w:spacing w:val="-8"/>
          <w:sz w:val="20"/>
        </w:rPr>
        <w:t> </w:t>
      </w:r>
      <w:r>
        <w:rPr>
          <w:sz w:val="20"/>
        </w:rPr>
        <w:t>saat</w:t>
      </w:r>
      <w:r>
        <w:rPr>
          <w:spacing w:val="-8"/>
          <w:sz w:val="20"/>
        </w:rPr>
        <w:t> </w:t>
      </w:r>
      <w:r>
        <w:rPr>
          <w:sz w:val="20"/>
        </w:rPr>
        <w:t>terjadi</w:t>
      </w:r>
      <w:r>
        <w:rPr>
          <w:spacing w:val="-8"/>
          <w:sz w:val="20"/>
        </w:rPr>
        <w:t> </w:t>
      </w:r>
      <w:r>
        <w:rPr>
          <w:sz w:val="20"/>
        </w:rPr>
        <w:t>kebakaran</w:t>
      </w:r>
      <w:r>
        <w:rPr>
          <w:spacing w:val="-7"/>
          <w:sz w:val="20"/>
        </w:rPr>
        <w:t> </w:t>
      </w:r>
      <w:r>
        <w:rPr>
          <w:sz w:val="20"/>
        </w:rPr>
        <w:t>sehingga</w:t>
      </w:r>
      <w:r>
        <w:rPr>
          <w:spacing w:val="-6"/>
          <w:sz w:val="20"/>
        </w:rPr>
        <w:t> </w:t>
      </w:r>
      <w:r>
        <w:rPr>
          <w:sz w:val="20"/>
        </w:rPr>
        <w:t>dapat</w:t>
      </w:r>
      <w:r>
        <w:rPr>
          <w:spacing w:val="-8"/>
          <w:sz w:val="20"/>
        </w:rPr>
        <w:t> </w:t>
      </w:r>
      <w:r>
        <w:rPr>
          <w:sz w:val="20"/>
        </w:rPr>
        <w:t>mengurangi</w:t>
      </w:r>
      <w:r>
        <w:rPr>
          <w:spacing w:val="-8"/>
          <w:sz w:val="20"/>
        </w:rPr>
        <w:t> </w:t>
      </w:r>
      <w:r>
        <w:rPr>
          <w:sz w:val="20"/>
        </w:rPr>
        <w:t>dampak</w:t>
      </w:r>
      <w:r>
        <w:rPr>
          <w:spacing w:val="-7"/>
          <w:sz w:val="20"/>
        </w:rPr>
        <w:t> </w:t>
      </w:r>
      <w:r>
        <w:rPr>
          <w:sz w:val="20"/>
        </w:rPr>
        <w:t>radiasi panas,</w:t>
      </w:r>
      <w:r>
        <w:rPr>
          <w:spacing w:val="-3"/>
          <w:sz w:val="20"/>
        </w:rPr>
        <w:t> </w:t>
      </w:r>
      <w:r>
        <w:rPr>
          <w:sz w:val="20"/>
        </w:rPr>
        <w:t>mencegah</w:t>
      </w:r>
      <w:r>
        <w:rPr>
          <w:spacing w:val="-3"/>
          <w:sz w:val="20"/>
        </w:rPr>
        <w:t> </w:t>
      </w:r>
      <w:r>
        <w:rPr>
          <w:sz w:val="20"/>
        </w:rPr>
        <w:t>kegagalan</w:t>
      </w:r>
      <w:r>
        <w:rPr>
          <w:spacing w:val="-3"/>
          <w:sz w:val="20"/>
        </w:rPr>
        <w:t> </w:t>
      </w:r>
      <w:r>
        <w:rPr>
          <w:sz w:val="20"/>
        </w:rPr>
        <w:t>struktur</w:t>
      </w:r>
      <w:r>
        <w:rPr>
          <w:spacing w:val="-5"/>
          <w:sz w:val="20"/>
        </w:rPr>
        <w:t> </w:t>
      </w:r>
      <w:r>
        <w:rPr>
          <w:sz w:val="20"/>
        </w:rPr>
        <w:t>tangki,</w:t>
      </w:r>
      <w:r>
        <w:rPr>
          <w:spacing w:val="-3"/>
          <w:sz w:val="20"/>
        </w:rPr>
        <w:t> </w:t>
      </w:r>
      <w:r>
        <w:rPr>
          <w:sz w:val="20"/>
        </w:rPr>
        <w:t>dan</w:t>
      </w:r>
      <w:r>
        <w:rPr>
          <w:spacing w:val="-3"/>
          <w:sz w:val="20"/>
        </w:rPr>
        <w:t> </w:t>
      </w:r>
      <w:r>
        <w:rPr>
          <w:sz w:val="20"/>
        </w:rPr>
        <w:t>meminimalkan</w:t>
      </w:r>
      <w:r>
        <w:rPr>
          <w:spacing w:val="-3"/>
          <w:sz w:val="20"/>
        </w:rPr>
        <w:t> </w:t>
      </w:r>
      <w:r>
        <w:rPr>
          <w:sz w:val="20"/>
        </w:rPr>
        <w:t>risiko</w:t>
      </w:r>
      <w:r>
        <w:rPr>
          <w:spacing w:val="-3"/>
          <w:sz w:val="20"/>
        </w:rPr>
        <w:t> </w:t>
      </w:r>
      <w:r>
        <w:rPr>
          <w:sz w:val="20"/>
        </w:rPr>
        <w:t>penyebaran</w:t>
      </w:r>
      <w:r>
        <w:rPr>
          <w:spacing w:val="-3"/>
          <w:sz w:val="20"/>
        </w:rPr>
        <w:t> </w:t>
      </w:r>
      <w:r>
        <w:rPr>
          <w:sz w:val="20"/>
        </w:rPr>
        <w:t>kebakaran</w:t>
      </w:r>
      <w:r>
        <w:rPr>
          <w:spacing w:val="-3"/>
          <w:sz w:val="20"/>
        </w:rPr>
        <w:t> </w:t>
      </w:r>
      <w:r>
        <w:rPr>
          <w:sz w:val="20"/>
        </w:rPr>
        <w:t>ke</w:t>
      </w:r>
      <w:r>
        <w:rPr>
          <w:spacing w:val="-2"/>
          <w:sz w:val="20"/>
        </w:rPr>
        <w:t> </w:t>
      </w:r>
      <w:r>
        <w:rPr>
          <w:sz w:val="20"/>
        </w:rPr>
        <w:t>fasilitas di sekitarnya.</w:t>
      </w:r>
    </w:p>
    <w:p>
      <w:pPr>
        <w:pStyle w:val="BodyText"/>
        <w:ind w:left="0"/>
      </w:pPr>
    </w:p>
    <w:p>
      <w:pPr>
        <w:pStyle w:val="Heading2"/>
        <w:numPr>
          <w:ilvl w:val="0"/>
          <w:numId w:val="1"/>
        </w:numPr>
        <w:tabs>
          <w:tab w:pos="566" w:val="left" w:leader="none"/>
        </w:tabs>
        <w:spacing w:line="240" w:lineRule="auto" w:before="1" w:after="0"/>
        <w:ind w:left="566" w:right="0" w:hanging="425"/>
        <w:jc w:val="left"/>
      </w:pPr>
      <w:r>
        <w:rPr/>
        <w:t>DAFTAR</w:t>
      </w:r>
      <w:r>
        <w:rPr>
          <w:spacing w:val="-2"/>
        </w:rPr>
        <w:t> NOTASI</w:t>
      </w:r>
    </w:p>
    <w:p>
      <w:pPr>
        <w:pStyle w:val="BodyText"/>
        <w:tabs>
          <w:tab w:pos="861" w:val="left" w:leader="none"/>
        </w:tabs>
        <w:spacing w:line="276" w:lineRule="auto"/>
        <w:ind w:left="566" w:right="6804"/>
      </w:pPr>
      <w:r>
        <w:rPr>
          <w:spacing w:val="-10"/>
        </w:rPr>
        <w:t>t</w:t>
      </w:r>
      <w:r>
        <w:rPr/>
        <w:tab/>
        <w:t>=</w:t>
      </w:r>
      <w:r>
        <w:rPr>
          <w:spacing w:val="-9"/>
        </w:rPr>
        <w:t> </w:t>
      </w:r>
      <w:r>
        <w:rPr/>
        <w:t>Tinggi</w:t>
      </w:r>
      <w:r>
        <w:rPr>
          <w:spacing w:val="-12"/>
        </w:rPr>
        <w:t> </w:t>
      </w:r>
      <w:r>
        <w:rPr/>
        <w:t>kerucut</w:t>
      </w:r>
      <w:r>
        <w:rPr>
          <w:spacing w:val="-12"/>
        </w:rPr>
        <w:t> </w:t>
      </w:r>
      <w:r>
        <w:rPr/>
        <w:t>(m) </w:t>
      </w:r>
      <w:r>
        <w:rPr>
          <w:spacing w:val="-10"/>
        </w:rPr>
        <w:t>r</w:t>
      </w:r>
      <w:r>
        <w:rPr/>
        <w:tab/>
        <w:t>= Jari-jari (m)</w:t>
      </w:r>
    </w:p>
    <w:p>
      <w:pPr>
        <w:pStyle w:val="BodyText"/>
        <w:spacing w:before="7"/>
        <w:ind w:left="566"/>
      </w:pPr>
      <w:r>
        <w:rPr>
          <w:rFonts w:ascii="Cambria Math" w:eastAsia="Cambria Math"/>
        </w:rPr>
        <w:t>𝐿</w:t>
      </w:r>
      <w:r>
        <w:rPr>
          <w:rFonts w:ascii="Cambria Math" w:eastAsia="Cambria Math"/>
          <w:vertAlign w:val="subscript"/>
        </w:rPr>
        <w:t>𝑝</w:t>
      </w:r>
      <w:r>
        <w:rPr>
          <w:rFonts w:ascii="Cambria Math" w:eastAsia="Cambria Math"/>
          <w:spacing w:val="58"/>
          <w:vertAlign w:val="baseline"/>
        </w:rPr>
        <w:t> </w:t>
      </w:r>
      <w:r>
        <w:rPr>
          <w:vertAlign w:val="baseline"/>
        </w:rPr>
        <w:t>=</w:t>
      </w:r>
      <w:r>
        <w:rPr>
          <w:spacing w:val="2"/>
          <w:vertAlign w:val="baseline"/>
        </w:rPr>
        <w:t> </w:t>
      </w:r>
      <w:r>
        <w:rPr>
          <w:vertAlign w:val="baseline"/>
        </w:rPr>
        <w:t>Luas</w:t>
      </w:r>
      <w:r>
        <w:rPr>
          <w:spacing w:val="2"/>
          <w:vertAlign w:val="baseline"/>
        </w:rPr>
        <w:t> </w:t>
      </w:r>
      <w:r>
        <w:rPr>
          <w:vertAlign w:val="baseline"/>
        </w:rPr>
        <w:t>permukaan area</w:t>
      </w:r>
      <w:r>
        <w:rPr>
          <w:spacing w:val="2"/>
          <w:vertAlign w:val="baseline"/>
        </w:rPr>
        <w:t> </w:t>
      </w:r>
      <w:r>
        <w:rPr>
          <w:vertAlign w:val="baseline"/>
        </w:rPr>
        <w:t>yang dilindungi</w:t>
      </w:r>
      <w:r>
        <w:rPr>
          <w:spacing w:val="1"/>
          <w:vertAlign w:val="baseline"/>
        </w:rPr>
        <w:t> </w:t>
      </w:r>
      <w:r>
        <w:rPr>
          <w:spacing w:val="-4"/>
          <w:vertAlign w:val="baseline"/>
        </w:rPr>
        <w:t>(</w:t>
      </w:r>
      <w:r>
        <w:rPr>
          <w:rFonts w:ascii="Cambria Math" w:eastAsia="Cambria Math"/>
          <w:spacing w:val="-4"/>
          <w:vertAlign w:val="baseline"/>
        </w:rPr>
        <w:t>𝑚</w:t>
      </w:r>
      <w:r>
        <w:rPr>
          <w:rFonts w:ascii="Cambria Math" w:eastAsia="Cambria Math"/>
          <w:spacing w:val="-4"/>
          <w:vertAlign w:val="superscript"/>
        </w:rPr>
        <w:t>2</w:t>
      </w:r>
      <w:r>
        <w:rPr>
          <w:spacing w:val="-4"/>
          <w:vertAlign w:val="baseline"/>
        </w:rPr>
        <w:t>)</w:t>
      </w:r>
    </w:p>
    <w:p>
      <w:pPr>
        <w:pStyle w:val="BodyText"/>
        <w:spacing w:before="51"/>
        <w:ind w:left="566"/>
      </w:pPr>
      <w:r>
        <w:rPr>
          <w:rFonts w:ascii="Cambria Math" w:eastAsia="Cambria Math"/>
        </w:rPr>
        <w:t>𝑄</w:t>
      </w:r>
      <w:r>
        <w:rPr>
          <w:rFonts w:ascii="Cambria Math" w:eastAsia="Cambria Math"/>
          <w:vertAlign w:val="subscript"/>
        </w:rPr>
        <w:t>𝑚</w:t>
      </w:r>
      <w:r>
        <w:rPr>
          <w:rFonts w:ascii="Cambria Math" w:eastAsia="Cambria Math"/>
          <w:spacing w:val="-10"/>
          <w:vertAlign w:val="baseline"/>
        </w:rPr>
        <w:t> </w:t>
      </w:r>
      <w:r>
        <w:rPr>
          <w:vertAlign w:val="baseline"/>
        </w:rPr>
        <w:t>=</w:t>
      </w:r>
      <w:r>
        <w:rPr>
          <w:spacing w:val="2"/>
          <w:vertAlign w:val="baseline"/>
        </w:rPr>
        <w:t> </w:t>
      </w:r>
      <w:r>
        <w:rPr>
          <w:vertAlign w:val="baseline"/>
        </w:rPr>
        <w:t>Minimal</w:t>
      </w:r>
      <w:r>
        <w:rPr>
          <w:spacing w:val="1"/>
          <w:vertAlign w:val="baseline"/>
        </w:rPr>
        <w:t> </w:t>
      </w:r>
      <w:r>
        <w:rPr>
          <w:i/>
          <w:vertAlign w:val="baseline"/>
        </w:rPr>
        <w:t>flow</w:t>
      </w:r>
      <w:r>
        <w:rPr>
          <w:i/>
          <w:spacing w:val="1"/>
          <w:vertAlign w:val="baseline"/>
        </w:rPr>
        <w:t> </w:t>
      </w:r>
      <w:r>
        <w:rPr>
          <w:vertAlign w:val="baseline"/>
        </w:rPr>
        <w:t>per</w:t>
      </w:r>
      <w:r>
        <w:rPr>
          <w:spacing w:val="-1"/>
          <w:vertAlign w:val="baseline"/>
        </w:rPr>
        <w:t> </w:t>
      </w:r>
      <w:r>
        <w:rPr>
          <w:vertAlign w:val="baseline"/>
        </w:rPr>
        <w:t>luas, 0.25</w:t>
      </w:r>
      <w:r>
        <w:rPr>
          <w:spacing w:val="1"/>
          <w:vertAlign w:val="baseline"/>
        </w:rPr>
        <w:t> </w:t>
      </w:r>
      <w:r>
        <w:rPr>
          <w:vertAlign w:val="baseline"/>
        </w:rPr>
        <w:t>gpm/ft2</w:t>
      </w:r>
      <w:r>
        <w:rPr>
          <w:spacing w:val="-1"/>
          <w:vertAlign w:val="baseline"/>
        </w:rPr>
        <w:t> </w:t>
      </w:r>
      <w:r>
        <w:rPr>
          <w:vertAlign w:val="baseline"/>
        </w:rPr>
        <w:t>(NFPA</w:t>
      </w:r>
      <w:r>
        <w:rPr>
          <w:spacing w:val="1"/>
          <w:vertAlign w:val="baseline"/>
        </w:rPr>
        <w:t> </w:t>
      </w:r>
      <w:r>
        <w:rPr>
          <w:vertAlign w:val="baseline"/>
        </w:rPr>
        <w:t>15, </w:t>
      </w:r>
      <w:r>
        <w:rPr>
          <w:spacing w:val="-2"/>
          <w:vertAlign w:val="baseline"/>
        </w:rPr>
        <w:t>2022)</w:t>
      </w:r>
    </w:p>
    <w:p>
      <w:pPr>
        <w:pStyle w:val="BodyText"/>
        <w:spacing w:before="35"/>
        <w:ind w:left="566"/>
        <w:rPr>
          <w:rFonts w:ascii="Cambria Math" w:eastAsia="Cambria Math"/>
        </w:rPr>
      </w:pPr>
      <w:r>
        <w:rPr>
          <w:rFonts w:ascii="Cambria Math" w:eastAsia="Cambria Math"/>
        </w:rPr>
        <w:t>𝑄</w:t>
      </w:r>
      <w:r>
        <w:rPr>
          <w:rFonts w:ascii="Cambria Math" w:eastAsia="Cambria Math"/>
          <w:spacing w:val="34"/>
        </w:rPr>
        <w:t>  </w:t>
      </w:r>
      <w:r>
        <w:rPr/>
        <w:t>=</w:t>
      </w:r>
      <w:r>
        <w:rPr>
          <w:spacing w:val="2"/>
        </w:rPr>
        <w:t> </w:t>
      </w:r>
      <w:r>
        <w:rPr/>
        <w:t>Debit</w:t>
      </w:r>
      <w:r>
        <w:rPr>
          <w:spacing w:val="-2"/>
        </w:rPr>
        <w:t> </w:t>
      </w:r>
      <w:r>
        <w:rPr/>
        <w:t>sistem</w:t>
      </w:r>
      <w:r>
        <w:rPr>
          <w:spacing w:val="-1"/>
        </w:rPr>
        <w:t> </w:t>
      </w:r>
      <w:r>
        <w:rPr/>
        <w:t>(L/menit)</w:t>
      </w:r>
      <w:r>
        <w:rPr>
          <w:spacing w:val="-4"/>
        </w:rPr>
        <w:t> </w:t>
      </w:r>
      <w:r>
        <w:rPr/>
        <w:t>atau</w:t>
      </w:r>
      <w:r>
        <w:rPr>
          <w:spacing w:val="-1"/>
        </w:rPr>
        <w:t> </w:t>
      </w:r>
      <w:r>
        <w:rPr>
          <w:spacing w:val="-2"/>
        </w:rPr>
        <w:t>(</w:t>
      </w:r>
      <w:r>
        <w:rPr>
          <w:rFonts w:ascii="Cambria Math" w:eastAsia="Cambria Math"/>
          <w:spacing w:val="-2"/>
        </w:rPr>
        <w:t>𝑚</w:t>
      </w:r>
      <w:r>
        <w:rPr>
          <w:rFonts w:ascii="Cambria Math" w:eastAsia="Cambria Math"/>
          <w:spacing w:val="-2"/>
          <w:vertAlign w:val="superscript"/>
        </w:rPr>
        <w:t>3</w:t>
      </w:r>
      <w:r>
        <w:rPr>
          <w:rFonts w:ascii="Cambria Math" w:eastAsia="Cambria Math"/>
          <w:spacing w:val="-2"/>
          <w:vertAlign w:val="baseline"/>
        </w:rPr>
        <w:t>/𝑠)</w:t>
      </w:r>
    </w:p>
    <w:p>
      <w:pPr>
        <w:pStyle w:val="BodyText"/>
        <w:spacing w:before="36"/>
        <w:ind w:left="566"/>
        <w:rPr>
          <w:rFonts w:ascii="Cambria Math" w:eastAsia="Cambria Math"/>
        </w:rPr>
      </w:pPr>
      <w:r>
        <w:rPr/>
        <w:t>V</w:t>
      </w:r>
      <w:r>
        <w:rPr>
          <w:spacing w:val="72"/>
          <w:w w:val="150"/>
        </w:rPr>
        <w:t> </w:t>
      </w:r>
      <w:r>
        <w:rPr/>
        <w:t>=</w:t>
      </w:r>
      <w:r>
        <w:rPr>
          <w:spacing w:val="2"/>
        </w:rPr>
        <w:t> </w:t>
      </w:r>
      <w:r>
        <w:rPr/>
        <w:t>Volume</w:t>
      </w:r>
      <w:r>
        <w:rPr>
          <w:spacing w:val="1"/>
        </w:rPr>
        <w:t> </w:t>
      </w:r>
      <w:r>
        <w:rPr/>
        <w:t>air</w:t>
      </w:r>
      <w:r>
        <w:rPr>
          <w:spacing w:val="-3"/>
        </w:rPr>
        <w:t> </w:t>
      </w:r>
      <w:r>
        <w:rPr>
          <w:spacing w:val="-4"/>
        </w:rPr>
        <w:t>(</w:t>
      </w:r>
      <w:r>
        <w:rPr>
          <w:rFonts w:ascii="Cambria Math" w:eastAsia="Cambria Math"/>
          <w:spacing w:val="-4"/>
        </w:rPr>
        <w:t>𝑚</w:t>
      </w:r>
      <w:r>
        <w:rPr>
          <w:rFonts w:ascii="Cambria Math" w:eastAsia="Cambria Math"/>
          <w:spacing w:val="-4"/>
          <w:vertAlign w:val="superscript"/>
        </w:rPr>
        <w:t>3</w:t>
      </w:r>
      <w:r>
        <w:rPr>
          <w:rFonts w:ascii="Cambria Math" w:eastAsia="Cambria Math"/>
          <w:spacing w:val="-4"/>
          <w:vertAlign w:val="baseline"/>
        </w:rPr>
        <w:t>)</w:t>
      </w:r>
    </w:p>
    <w:p>
      <w:pPr>
        <w:pStyle w:val="BodyText"/>
        <w:spacing w:before="39"/>
        <w:ind w:left="566"/>
      </w:pPr>
      <w:r>
        <w:rPr/>
        <w:t>T</w:t>
      </w:r>
      <w:r>
        <w:rPr>
          <w:spacing w:val="36"/>
        </w:rPr>
        <w:t>  </w:t>
      </w:r>
      <w:r>
        <w:rPr/>
        <w:t>=</w:t>
      </w:r>
      <w:r>
        <w:rPr>
          <w:spacing w:val="2"/>
        </w:rPr>
        <w:t> </w:t>
      </w:r>
      <w:r>
        <w:rPr/>
        <w:t>Waktu</w:t>
      </w:r>
      <w:r>
        <w:rPr>
          <w:spacing w:val="1"/>
        </w:rPr>
        <w:t> </w:t>
      </w:r>
      <w:r>
        <w:rPr>
          <w:spacing w:val="-5"/>
        </w:rPr>
        <w:t>(s)</w:t>
      </w:r>
    </w:p>
    <w:p>
      <w:pPr>
        <w:pStyle w:val="Heading2"/>
        <w:spacing w:before="150"/>
        <w:ind w:left="141" w:firstLine="0"/>
        <w:jc w:val="both"/>
      </w:pPr>
      <w:r>
        <w:rPr/>
        <w:t>DAFTAR</w:t>
      </w:r>
      <w:r>
        <w:rPr>
          <w:spacing w:val="-2"/>
        </w:rPr>
        <w:t> PUSTAKA</w:t>
      </w:r>
    </w:p>
    <w:p>
      <w:pPr>
        <w:spacing w:before="0"/>
        <w:ind w:left="141" w:right="0" w:firstLine="0"/>
        <w:jc w:val="both"/>
        <w:rPr>
          <w:i/>
          <w:sz w:val="20"/>
        </w:rPr>
      </w:pPr>
      <w:r>
        <w:rPr>
          <w:sz w:val="20"/>
        </w:rPr>
        <w:t>Bao,</w:t>
      </w:r>
      <w:r>
        <w:rPr>
          <w:spacing w:val="-2"/>
          <w:sz w:val="20"/>
        </w:rPr>
        <w:t> </w:t>
      </w:r>
      <w:r>
        <w:rPr>
          <w:sz w:val="20"/>
        </w:rPr>
        <w:t>Y.,</w:t>
      </w:r>
      <w:r>
        <w:rPr>
          <w:spacing w:val="-1"/>
          <w:sz w:val="20"/>
        </w:rPr>
        <w:t> </w:t>
      </w:r>
      <w:r>
        <w:rPr>
          <w:sz w:val="20"/>
        </w:rPr>
        <w:t>et</w:t>
      </w:r>
      <w:r>
        <w:rPr>
          <w:spacing w:val="-2"/>
          <w:sz w:val="20"/>
        </w:rPr>
        <w:t> </w:t>
      </w:r>
      <w:r>
        <w:rPr>
          <w:sz w:val="20"/>
        </w:rPr>
        <w:t>al.</w:t>
      </w:r>
      <w:r>
        <w:rPr>
          <w:spacing w:val="-3"/>
          <w:sz w:val="20"/>
        </w:rPr>
        <w:t> </w:t>
      </w:r>
      <w:r>
        <w:rPr>
          <w:sz w:val="20"/>
        </w:rPr>
        <w:t>(2023).</w:t>
      </w:r>
      <w:r>
        <w:rPr>
          <w:spacing w:val="1"/>
          <w:sz w:val="20"/>
        </w:rPr>
        <w:t> </w:t>
      </w:r>
      <w:r>
        <w:rPr>
          <w:i/>
          <w:sz w:val="20"/>
        </w:rPr>
        <w:t>Simulation</w:t>
      </w:r>
      <w:r>
        <w:rPr>
          <w:i/>
          <w:spacing w:val="-1"/>
          <w:sz w:val="20"/>
        </w:rPr>
        <w:t> </w:t>
      </w:r>
      <w:r>
        <w:rPr>
          <w:i/>
          <w:sz w:val="20"/>
        </w:rPr>
        <w:t>on</w:t>
      </w:r>
      <w:r>
        <w:rPr>
          <w:i/>
          <w:spacing w:val="-2"/>
          <w:sz w:val="20"/>
        </w:rPr>
        <w:t> </w:t>
      </w:r>
      <w:r>
        <w:rPr>
          <w:i/>
          <w:sz w:val="20"/>
        </w:rPr>
        <w:t>Heat</w:t>
      </w:r>
      <w:r>
        <w:rPr>
          <w:i/>
          <w:spacing w:val="-2"/>
          <w:sz w:val="20"/>
        </w:rPr>
        <w:t> </w:t>
      </w:r>
      <w:r>
        <w:rPr>
          <w:i/>
          <w:sz w:val="20"/>
        </w:rPr>
        <w:t>Transfer and</w:t>
      </w:r>
      <w:r>
        <w:rPr>
          <w:i/>
          <w:spacing w:val="-2"/>
          <w:sz w:val="20"/>
        </w:rPr>
        <w:t> </w:t>
      </w:r>
      <w:r>
        <w:rPr>
          <w:i/>
          <w:sz w:val="20"/>
        </w:rPr>
        <w:t>Emergency Protection</w:t>
      </w:r>
      <w:r>
        <w:rPr>
          <w:i/>
          <w:spacing w:val="-1"/>
          <w:sz w:val="20"/>
        </w:rPr>
        <w:t> </w:t>
      </w:r>
      <w:r>
        <w:rPr>
          <w:i/>
          <w:sz w:val="20"/>
        </w:rPr>
        <w:t>of</w:t>
      </w:r>
      <w:r>
        <w:rPr>
          <w:i/>
          <w:spacing w:val="-2"/>
          <w:sz w:val="20"/>
        </w:rPr>
        <w:t> </w:t>
      </w:r>
      <w:r>
        <w:rPr>
          <w:i/>
          <w:sz w:val="20"/>
        </w:rPr>
        <w:t>Tanks in</w:t>
      </w:r>
      <w:r>
        <w:rPr>
          <w:i/>
          <w:spacing w:val="-1"/>
          <w:sz w:val="20"/>
        </w:rPr>
        <w:t> </w:t>
      </w:r>
      <w:r>
        <w:rPr>
          <w:i/>
          <w:sz w:val="20"/>
        </w:rPr>
        <w:t>a</w:t>
      </w:r>
      <w:r>
        <w:rPr>
          <w:i/>
          <w:spacing w:val="-2"/>
          <w:sz w:val="20"/>
        </w:rPr>
        <w:t> </w:t>
      </w:r>
      <w:r>
        <w:rPr>
          <w:i/>
          <w:sz w:val="20"/>
        </w:rPr>
        <w:t>Tank Farm</w:t>
      </w:r>
      <w:r>
        <w:rPr>
          <w:i/>
          <w:spacing w:val="-1"/>
          <w:sz w:val="20"/>
        </w:rPr>
        <w:t> </w:t>
      </w:r>
      <w:r>
        <w:rPr>
          <w:i/>
          <w:spacing w:val="-2"/>
          <w:sz w:val="20"/>
        </w:rPr>
        <w:t>under</w:t>
      </w:r>
    </w:p>
    <w:p>
      <w:pPr>
        <w:spacing w:after="0"/>
        <w:jc w:val="both"/>
        <w:rPr>
          <w:i/>
          <w:sz w:val="20"/>
        </w:rPr>
        <w:sectPr>
          <w:pgSz w:w="11910" w:h="16840"/>
          <w:pgMar w:header="960" w:footer="0" w:top="1820" w:bottom="280" w:left="1559" w:right="992"/>
        </w:sectPr>
      </w:pPr>
    </w:p>
    <w:p>
      <w:pPr>
        <w:spacing w:before="81"/>
        <w:ind w:left="621" w:right="0" w:firstLine="0"/>
        <w:jc w:val="left"/>
        <w:rPr>
          <w:i/>
          <w:sz w:val="20"/>
        </w:rPr>
      </w:pPr>
      <w:r>
        <w:rPr>
          <w:i/>
          <w:sz w:val="20"/>
        </w:rPr>
        <w:t>Fire</w:t>
      </w:r>
      <w:r>
        <w:rPr>
          <w:i/>
          <w:spacing w:val="-2"/>
          <w:sz w:val="20"/>
        </w:rPr>
        <w:t> Scenario</w:t>
      </w:r>
    </w:p>
    <w:p>
      <w:pPr>
        <w:pStyle w:val="BodyText"/>
        <w:ind w:left="621" w:right="225" w:hanging="481"/>
      </w:pPr>
      <w:r>
        <w:rPr/>
        <w:t>Chen,</w:t>
      </w:r>
      <w:r>
        <w:rPr>
          <w:spacing w:val="-3"/>
        </w:rPr>
        <w:t> </w:t>
      </w:r>
      <w:r>
        <w:rPr/>
        <w:t>F.,</w:t>
      </w:r>
      <w:r>
        <w:rPr>
          <w:spacing w:val="-3"/>
        </w:rPr>
        <w:t> </w:t>
      </w:r>
      <w:r>
        <w:rPr/>
        <w:t>Song,</w:t>
      </w:r>
      <w:r>
        <w:rPr>
          <w:spacing w:val="-3"/>
        </w:rPr>
        <w:t> </w:t>
      </w:r>
      <w:r>
        <w:rPr/>
        <w:t>J.,</w:t>
      </w:r>
      <w:r>
        <w:rPr>
          <w:spacing w:val="-3"/>
        </w:rPr>
        <w:t> </w:t>
      </w:r>
      <w:r>
        <w:rPr/>
        <w:t>&amp;</w:t>
      </w:r>
      <w:r>
        <w:rPr>
          <w:spacing w:val="-4"/>
        </w:rPr>
        <w:t> </w:t>
      </w:r>
      <w:r>
        <w:rPr/>
        <w:t>Zheng,</w:t>
      </w:r>
      <w:r>
        <w:rPr>
          <w:spacing w:val="-3"/>
        </w:rPr>
        <w:t> </w:t>
      </w:r>
      <w:r>
        <w:rPr/>
        <w:t>F.</w:t>
      </w:r>
      <w:r>
        <w:rPr>
          <w:spacing w:val="-3"/>
        </w:rPr>
        <w:t> </w:t>
      </w:r>
      <w:r>
        <w:rPr/>
        <w:t>(2017).</w:t>
      </w:r>
      <w:r>
        <w:rPr>
          <w:spacing w:val="-3"/>
        </w:rPr>
        <w:t> </w:t>
      </w:r>
      <w:r>
        <w:rPr/>
        <w:t>Risk</w:t>
      </w:r>
      <w:r>
        <w:rPr>
          <w:spacing w:val="-3"/>
        </w:rPr>
        <w:t> </w:t>
      </w:r>
      <w:r>
        <w:rPr/>
        <w:t>Analysis</w:t>
      </w:r>
      <w:r>
        <w:rPr>
          <w:spacing w:val="-2"/>
        </w:rPr>
        <w:t> </w:t>
      </w:r>
      <w:r>
        <w:rPr/>
        <w:t>on</w:t>
      </w:r>
      <w:r>
        <w:rPr>
          <w:spacing w:val="-3"/>
        </w:rPr>
        <w:t> </w:t>
      </w:r>
      <w:r>
        <w:rPr/>
        <w:t>Domino</w:t>
      </w:r>
      <w:r>
        <w:rPr>
          <w:spacing w:val="-3"/>
        </w:rPr>
        <w:t> </w:t>
      </w:r>
      <w:r>
        <w:rPr/>
        <w:t>Effect</w:t>
      </w:r>
      <w:r>
        <w:rPr>
          <w:spacing w:val="-4"/>
        </w:rPr>
        <w:t> </w:t>
      </w:r>
      <w:r>
        <w:rPr/>
        <w:t>Caused</w:t>
      </w:r>
      <w:r>
        <w:rPr>
          <w:spacing w:val="-3"/>
        </w:rPr>
        <w:t> </w:t>
      </w:r>
      <w:r>
        <w:rPr/>
        <w:t>by</w:t>
      </w:r>
      <w:r>
        <w:rPr>
          <w:spacing w:val="-3"/>
        </w:rPr>
        <w:t> </w:t>
      </w:r>
      <w:r>
        <w:rPr/>
        <w:t>Pool</w:t>
      </w:r>
      <w:r>
        <w:rPr>
          <w:spacing w:val="-4"/>
        </w:rPr>
        <w:t> </w:t>
      </w:r>
      <w:r>
        <w:rPr/>
        <w:t>Fire</w:t>
      </w:r>
      <w:r>
        <w:rPr>
          <w:spacing w:val="-2"/>
        </w:rPr>
        <w:t> </w:t>
      </w:r>
      <w:r>
        <w:rPr/>
        <w:t>in</w:t>
      </w:r>
      <w:r>
        <w:rPr>
          <w:spacing w:val="-3"/>
        </w:rPr>
        <w:t> </w:t>
      </w:r>
      <w:r>
        <w:rPr/>
        <w:t>Petroliferous Tank Farm F. </w:t>
      </w:r>
      <w:r>
        <w:rPr>
          <w:i/>
        </w:rPr>
        <w:t>Procedia Engineering</w:t>
      </w:r>
      <w:r>
        <w:rPr/>
        <w:t>, </w:t>
      </w:r>
      <w:r>
        <w:rPr>
          <w:i/>
        </w:rPr>
        <w:t>211</w:t>
      </w:r>
      <w:r>
        <w:rPr/>
        <w:t>, 46–54. </w:t>
      </w:r>
      <w:hyperlink r:id="rId7">
        <w:r>
          <w:rPr>
            <w:u w:val="single"/>
          </w:rPr>
          <w:t>https://doi.org/10.1016/j.proeng.2017.12.136</w:t>
        </w:r>
      </w:hyperlink>
    </w:p>
    <w:p>
      <w:pPr>
        <w:spacing w:before="1"/>
        <w:ind w:left="621" w:right="0" w:hanging="481"/>
        <w:jc w:val="left"/>
        <w:rPr>
          <w:i/>
          <w:sz w:val="20"/>
        </w:rPr>
      </w:pPr>
      <w:r>
        <w:rPr>
          <w:sz w:val="20"/>
        </w:rPr>
        <w:t>Ghasemi,</w:t>
      </w:r>
      <w:r>
        <w:rPr>
          <w:spacing w:val="-3"/>
          <w:sz w:val="20"/>
        </w:rPr>
        <w:t> </w:t>
      </w:r>
      <w:r>
        <w:rPr>
          <w:sz w:val="20"/>
        </w:rPr>
        <w:t>A.M.,</w:t>
      </w:r>
      <w:r>
        <w:rPr>
          <w:spacing w:val="-2"/>
          <w:sz w:val="20"/>
        </w:rPr>
        <w:t> </w:t>
      </w:r>
      <w:r>
        <w:rPr>
          <w:sz w:val="20"/>
        </w:rPr>
        <w:t>et</w:t>
      </w:r>
      <w:r>
        <w:rPr>
          <w:spacing w:val="-3"/>
          <w:sz w:val="20"/>
        </w:rPr>
        <w:t> </w:t>
      </w:r>
      <w:r>
        <w:rPr>
          <w:sz w:val="20"/>
        </w:rPr>
        <w:t>al.</w:t>
      </w:r>
      <w:r>
        <w:rPr>
          <w:spacing w:val="-3"/>
          <w:sz w:val="20"/>
        </w:rPr>
        <w:t> </w:t>
      </w:r>
      <w:r>
        <w:rPr>
          <w:sz w:val="20"/>
        </w:rPr>
        <w:t>(2017). </w:t>
      </w:r>
      <w:r>
        <w:rPr>
          <w:i/>
          <w:sz w:val="20"/>
        </w:rPr>
        <w:t>A</w:t>
      </w:r>
      <w:r>
        <w:rPr>
          <w:i/>
          <w:spacing w:val="-5"/>
          <w:sz w:val="20"/>
        </w:rPr>
        <w:t> </w:t>
      </w:r>
      <w:r>
        <w:rPr>
          <w:i/>
          <w:sz w:val="20"/>
        </w:rPr>
        <w:t>Framework</w:t>
      </w:r>
      <w:r>
        <w:rPr>
          <w:i/>
          <w:spacing w:val="-1"/>
          <w:sz w:val="20"/>
        </w:rPr>
        <w:t> </w:t>
      </w:r>
      <w:r>
        <w:rPr>
          <w:i/>
          <w:sz w:val="20"/>
        </w:rPr>
        <w:t>for</w:t>
      </w:r>
      <w:r>
        <w:rPr>
          <w:i/>
          <w:spacing w:val="-1"/>
          <w:sz w:val="20"/>
        </w:rPr>
        <w:t> </w:t>
      </w:r>
      <w:r>
        <w:rPr>
          <w:i/>
          <w:sz w:val="20"/>
        </w:rPr>
        <w:t>Minimizing</w:t>
      </w:r>
      <w:r>
        <w:rPr>
          <w:i/>
          <w:spacing w:val="-2"/>
          <w:sz w:val="20"/>
        </w:rPr>
        <w:t> </w:t>
      </w:r>
      <w:r>
        <w:rPr>
          <w:i/>
          <w:sz w:val="20"/>
        </w:rPr>
        <w:t>Domino</w:t>
      </w:r>
      <w:r>
        <w:rPr>
          <w:i/>
          <w:spacing w:val="-2"/>
          <w:sz w:val="20"/>
        </w:rPr>
        <w:t> </w:t>
      </w:r>
      <w:r>
        <w:rPr>
          <w:i/>
          <w:sz w:val="20"/>
        </w:rPr>
        <w:t>Effect</w:t>
      </w:r>
      <w:r>
        <w:rPr>
          <w:i/>
          <w:spacing w:val="-3"/>
          <w:sz w:val="20"/>
        </w:rPr>
        <w:t> </w:t>
      </w:r>
      <w:r>
        <w:rPr>
          <w:i/>
          <w:sz w:val="20"/>
        </w:rPr>
        <w:t>Through</w:t>
      </w:r>
      <w:r>
        <w:rPr>
          <w:i/>
          <w:spacing w:val="-2"/>
          <w:sz w:val="20"/>
        </w:rPr>
        <w:t> </w:t>
      </w:r>
      <w:r>
        <w:rPr>
          <w:i/>
          <w:sz w:val="20"/>
        </w:rPr>
        <w:t>Optimum</w:t>
      </w:r>
      <w:r>
        <w:rPr>
          <w:i/>
          <w:spacing w:val="-3"/>
          <w:sz w:val="20"/>
        </w:rPr>
        <w:t> </w:t>
      </w:r>
      <w:r>
        <w:rPr>
          <w:i/>
          <w:sz w:val="20"/>
        </w:rPr>
        <w:t>Spacing</w:t>
      </w:r>
      <w:r>
        <w:rPr>
          <w:i/>
          <w:spacing w:val="-2"/>
          <w:sz w:val="20"/>
        </w:rPr>
        <w:t> </w:t>
      </w:r>
      <w:r>
        <w:rPr>
          <w:i/>
          <w:sz w:val="20"/>
        </w:rPr>
        <w:t>of</w:t>
      </w:r>
      <w:r>
        <w:rPr>
          <w:i/>
          <w:spacing w:val="-3"/>
          <w:sz w:val="20"/>
        </w:rPr>
        <w:t> </w:t>
      </w:r>
      <w:r>
        <w:rPr>
          <w:i/>
          <w:sz w:val="20"/>
        </w:rPr>
        <w:t>Storage </w:t>
      </w:r>
      <w:r>
        <w:rPr>
          <w:i/>
          <w:spacing w:val="-2"/>
          <w:sz w:val="20"/>
        </w:rPr>
        <w:t>Tanks</w:t>
      </w:r>
    </w:p>
    <w:p>
      <w:pPr>
        <w:spacing w:before="0"/>
        <w:ind w:left="141" w:right="2380" w:firstLine="0"/>
        <w:jc w:val="left"/>
        <w:rPr>
          <w:sz w:val="20"/>
        </w:rPr>
      </w:pPr>
      <w:r>
        <w:rPr>
          <w:sz w:val="20"/>
        </w:rPr>
        <w:t>NFPA</w:t>
      </w:r>
      <w:r>
        <w:rPr>
          <w:spacing w:val="-3"/>
          <w:sz w:val="20"/>
        </w:rPr>
        <w:t> </w:t>
      </w:r>
      <w:r>
        <w:rPr>
          <w:sz w:val="20"/>
        </w:rPr>
        <w:t>15.</w:t>
      </w:r>
      <w:r>
        <w:rPr>
          <w:spacing w:val="-3"/>
          <w:sz w:val="20"/>
        </w:rPr>
        <w:t> </w:t>
      </w:r>
      <w:r>
        <w:rPr>
          <w:sz w:val="20"/>
        </w:rPr>
        <w:t>(2022).</w:t>
      </w:r>
      <w:r>
        <w:rPr>
          <w:spacing w:val="-2"/>
          <w:sz w:val="20"/>
        </w:rPr>
        <w:t> </w:t>
      </w:r>
      <w:r>
        <w:rPr>
          <w:i/>
          <w:sz w:val="20"/>
        </w:rPr>
        <w:t>Standard</w:t>
      </w:r>
      <w:r>
        <w:rPr>
          <w:i/>
          <w:spacing w:val="-3"/>
          <w:sz w:val="20"/>
        </w:rPr>
        <w:t> </w:t>
      </w:r>
      <w:r>
        <w:rPr>
          <w:i/>
          <w:sz w:val="20"/>
        </w:rPr>
        <w:t>for</w:t>
      </w:r>
      <w:r>
        <w:rPr>
          <w:i/>
          <w:spacing w:val="-2"/>
          <w:sz w:val="20"/>
        </w:rPr>
        <w:t> </w:t>
      </w:r>
      <w:r>
        <w:rPr>
          <w:i/>
          <w:sz w:val="20"/>
        </w:rPr>
        <w:t>Water</w:t>
      </w:r>
      <w:r>
        <w:rPr>
          <w:i/>
          <w:spacing w:val="-2"/>
          <w:sz w:val="20"/>
        </w:rPr>
        <w:t> </w:t>
      </w:r>
      <w:r>
        <w:rPr>
          <w:i/>
          <w:sz w:val="20"/>
        </w:rPr>
        <w:t>Spray</w:t>
      </w:r>
      <w:r>
        <w:rPr>
          <w:i/>
          <w:spacing w:val="-2"/>
          <w:sz w:val="20"/>
        </w:rPr>
        <w:t> </w:t>
      </w:r>
      <w:r>
        <w:rPr>
          <w:i/>
          <w:sz w:val="20"/>
        </w:rPr>
        <w:t>Fixed</w:t>
      </w:r>
      <w:r>
        <w:rPr>
          <w:i/>
          <w:spacing w:val="-3"/>
          <w:sz w:val="20"/>
        </w:rPr>
        <w:t> </w:t>
      </w:r>
      <w:r>
        <w:rPr>
          <w:i/>
          <w:sz w:val="20"/>
        </w:rPr>
        <w:t>Systems</w:t>
      </w:r>
      <w:r>
        <w:rPr>
          <w:i/>
          <w:spacing w:val="-2"/>
          <w:sz w:val="20"/>
        </w:rPr>
        <w:t> </w:t>
      </w:r>
      <w:r>
        <w:rPr>
          <w:i/>
          <w:sz w:val="20"/>
        </w:rPr>
        <w:t>for</w:t>
      </w:r>
      <w:r>
        <w:rPr>
          <w:i/>
          <w:spacing w:val="-7"/>
          <w:sz w:val="20"/>
        </w:rPr>
        <w:t> </w:t>
      </w:r>
      <w:r>
        <w:rPr>
          <w:i/>
          <w:sz w:val="20"/>
        </w:rPr>
        <w:t>Fire</w:t>
      </w:r>
      <w:r>
        <w:rPr>
          <w:i/>
          <w:spacing w:val="-2"/>
          <w:sz w:val="20"/>
        </w:rPr>
        <w:t> </w:t>
      </w:r>
      <w:r>
        <w:rPr>
          <w:i/>
          <w:sz w:val="20"/>
        </w:rPr>
        <w:t>Protection</w:t>
      </w:r>
      <w:r>
        <w:rPr>
          <w:sz w:val="20"/>
        </w:rPr>
        <w:t>. NFPA 30. (2024). </w:t>
      </w:r>
      <w:r>
        <w:rPr>
          <w:i/>
          <w:sz w:val="20"/>
        </w:rPr>
        <w:t>Flammable and Combustible Liquid Code</w:t>
      </w:r>
      <w:r>
        <w:rPr>
          <w:sz w:val="20"/>
        </w:rPr>
        <w:t>.</w:t>
      </w:r>
    </w:p>
    <w:p>
      <w:pPr>
        <w:spacing w:before="0"/>
        <w:ind w:left="141" w:right="0" w:firstLine="0"/>
        <w:jc w:val="left"/>
        <w:rPr>
          <w:sz w:val="20"/>
        </w:rPr>
      </w:pPr>
      <w:r>
        <w:rPr>
          <w:sz w:val="20"/>
        </w:rPr>
        <w:t>NFPA</w:t>
      </w:r>
      <w:r>
        <w:rPr>
          <w:spacing w:val="-5"/>
          <w:sz w:val="20"/>
        </w:rPr>
        <w:t> </w:t>
      </w:r>
      <w:r>
        <w:rPr>
          <w:sz w:val="20"/>
        </w:rPr>
        <w:t>551.</w:t>
      </w:r>
      <w:r>
        <w:rPr>
          <w:spacing w:val="-2"/>
          <w:sz w:val="20"/>
        </w:rPr>
        <w:t> </w:t>
      </w:r>
      <w:r>
        <w:rPr>
          <w:sz w:val="20"/>
        </w:rPr>
        <w:t>(2022).</w:t>
      </w:r>
      <w:r>
        <w:rPr>
          <w:spacing w:val="-1"/>
          <w:sz w:val="20"/>
        </w:rPr>
        <w:t> </w:t>
      </w:r>
      <w:r>
        <w:rPr>
          <w:i/>
          <w:sz w:val="20"/>
        </w:rPr>
        <w:t>Guide</w:t>
      </w:r>
      <w:r>
        <w:rPr>
          <w:i/>
          <w:spacing w:val="-2"/>
          <w:sz w:val="20"/>
        </w:rPr>
        <w:t> </w:t>
      </w:r>
      <w:r>
        <w:rPr>
          <w:i/>
          <w:sz w:val="20"/>
        </w:rPr>
        <w:t>for</w:t>
      </w:r>
      <w:r>
        <w:rPr>
          <w:i/>
          <w:spacing w:val="-1"/>
          <w:sz w:val="20"/>
        </w:rPr>
        <w:t> </w:t>
      </w:r>
      <w:r>
        <w:rPr>
          <w:i/>
          <w:sz w:val="20"/>
        </w:rPr>
        <w:t>the</w:t>
      </w:r>
      <w:r>
        <w:rPr>
          <w:i/>
          <w:spacing w:val="-1"/>
          <w:sz w:val="20"/>
        </w:rPr>
        <w:t> </w:t>
      </w:r>
      <w:r>
        <w:rPr>
          <w:i/>
          <w:sz w:val="20"/>
        </w:rPr>
        <w:t>Evaluation</w:t>
      </w:r>
      <w:r>
        <w:rPr>
          <w:i/>
          <w:spacing w:val="-3"/>
          <w:sz w:val="20"/>
        </w:rPr>
        <w:t> </w:t>
      </w:r>
      <w:r>
        <w:rPr>
          <w:i/>
          <w:sz w:val="20"/>
        </w:rPr>
        <w:t>of</w:t>
      </w:r>
      <w:r>
        <w:rPr>
          <w:i/>
          <w:spacing w:val="-3"/>
          <w:sz w:val="20"/>
        </w:rPr>
        <w:t> </w:t>
      </w:r>
      <w:r>
        <w:rPr>
          <w:i/>
          <w:sz w:val="20"/>
        </w:rPr>
        <w:t>Fire</w:t>
      </w:r>
      <w:r>
        <w:rPr>
          <w:i/>
          <w:spacing w:val="-1"/>
          <w:sz w:val="20"/>
        </w:rPr>
        <w:t> </w:t>
      </w:r>
      <w:r>
        <w:rPr>
          <w:i/>
          <w:sz w:val="20"/>
        </w:rPr>
        <w:t>Risk</w:t>
      </w:r>
      <w:r>
        <w:rPr>
          <w:i/>
          <w:spacing w:val="-1"/>
          <w:sz w:val="20"/>
        </w:rPr>
        <w:t> </w:t>
      </w:r>
      <w:r>
        <w:rPr>
          <w:i/>
          <w:spacing w:val="-2"/>
          <w:sz w:val="20"/>
        </w:rPr>
        <w:t>Assesment</w:t>
      </w:r>
      <w:r>
        <w:rPr>
          <w:spacing w:val="-2"/>
          <w:sz w:val="20"/>
        </w:rPr>
        <w:t>.</w:t>
      </w:r>
    </w:p>
    <w:p>
      <w:pPr>
        <w:spacing w:before="0"/>
        <w:ind w:left="621" w:right="225" w:hanging="481"/>
        <w:jc w:val="left"/>
        <w:rPr>
          <w:sz w:val="20"/>
        </w:rPr>
      </w:pPr>
      <w:r>
        <w:rPr>
          <w:sz w:val="20"/>
        </w:rPr>
        <w:t>Safura,</w:t>
      </w:r>
      <w:r>
        <w:rPr>
          <w:spacing w:val="-3"/>
          <w:sz w:val="20"/>
        </w:rPr>
        <w:t> </w:t>
      </w:r>
      <w:r>
        <w:rPr>
          <w:sz w:val="20"/>
        </w:rPr>
        <w:t>S.</w:t>
      </w:r>
      <w:r>
        <w:rPr>
          <w:spacing w:val="-3"/>
          <w:sz w:val="20"/>
        </w:rPr>
        <w:t> </w:t>
      </w:r>
      <w:r>
        <w:rPr>
          <w:sz w:val="20"/>
        </w:rPr>
        <w:t>(2023). </w:t>
      </w:r>
      <w:r>
        <w:rPr>
          <w:i/>
          <w:sz w:val="20"/>
        </w:rPr>
        <w:t>Economic</w:t>
      </w:r>
      <w:r>
        <w:rPr>
          <w:i/>
          <w:spacing w:val="-2"/>
          <w:sz w:val="20"/>
        </w:rPr>
        <w:t> </w:t>
      </w:r>
      <w:r>
        <w:rPr>
          <w:i/>
          <w:sz w:val="20"/>
        </w:rPr>
        <w:t>Significance</w:t>
      </w:r>
      <w:r>
        <w:rPr>
          <w:i/>
          <w:spacing w:val="-2"/>
          <w:sz w:val="20"/>
        </w:rPr>
        <w:t> </w:t>
      </w:r>
      <w:r>
        <w:rPr>
          <w:i/>
          <w:sz w:val="20"/>
        </w:rPr>
        <w:t>of</w:t>
      </w:r>
      <w:r>
        <w:rPr>
          <w:i/>
          <w:spacing w:val="-4"/>
          <w:sz w:val="20"/>
        </w:rPr>
        <w:t> </w:t>
      </w:r>
      <w:r>
        <w:rPr>
          <w:i/>
          <w:sz w:val="20"/>
        </w:rPr>
        <w:t>the</w:t>
      </w:r>
      <w:r>
        <w:rPr>
          <w:i/>
          <w:spacing w:val="-2"/>
          <w:sz w:val="20"/>
        </w:rPr>
        <w:t> </w:t>
      </w:r>
      <w:r>
        <w:rPr>
          <w:i/>
          <w:sz w:val="20"/>
        </w:rPr>
        <w:t>Chemical</w:t>
      </w:r>
      <w:r>
        <w:rPr>
          <w:i/>
          <w:spacing w:val="-4"/>
          <w:sz w:val="20"/>
        </w:rPr>
        <w:t> </w:t>
      </w:r>
      <w:r>
        <w:rPr>
          <w:i/>
          <w:sz w:val="20"/>
        </w:rPr>
        <w:t>Sector</w:t>
      </w:r>
      <w:r>
        <w:rPr>
          <w:i/>
          <w:spacing w:val="-2"/>
          <w:sz w:val="20"/>
        </w:rPr>
        <w:t> </w:t>
      </w:r>
      <w:r>
        <w:rPr>
          <w:i/>
          <w:sz w:val="20"/>
        </w:rPr>
        <w:t>and</w:t>
      </w:r>
      <w:r>
        <w:rPr>
          <w:i/>
          <w:spacing w:val="-3"/>
          <w:sz w:val="20"/>
        </w:rPr>
        <w:t> </w:t>
      </w:r>
      <w:r>
        <w:rPr>
          <w:i/>
          <w:sz w:val="20"/>
        </w:rPr>
        <w:t>its</w:t>
      </w:r>
      <w:r>
        <w:rPr>
          <w:i/>
          <w:spacing w:val="-2"/>
          <w:sz w:val="20"/>
        </w:rPr>
        <w:t> </w:t>
      </w:r>
      <w:r>
        <w:rPr>
          <w:i/>
          <w:sz w:val="20"/>
        </w:rPr>
        <w:t>Contributions</w:t>
      </w:r>
      <w:r>
        <w:rPr>
          <w:i/>
          <w:spacing w:val="-2"/>
          <w:sz w:val="20"/>
        </w:rPr>
        <w:t> </w:t>
      </w:r>
      <w:r>
        <w:rPr>
          <w:i/>
          <w:sz w:val="20"/>
        </w:rPr>
        <w:t>and</w:t>
      </w:r>
      <w:r>
        <w:rPr>
          <w:i/>
          <w:spacing w:val="-3"/>
          <w:sz w:val="20"/>
        </w:rPr>
        <w:t> </w:t>
      </w:r>
      <w:r>
        <w:rPr>
          <w:i/>
          <w:sz w:val="20"/>
        </w:rPr>
        <w:t>Advancements </w:t>
      </w:r>
      <w:r>
        <w:rPr>
          <w:i/>
          <w:spacing w:val="-2"/>
          <w:sz w:val="20"/>
        </w:rPr>
        <w:t>Suzuki</w:t>
      </w:r>
      <w:r>
        <w:rPr>
          <w:spacing w:val="-2"/>
          <w:sz w:val="20"/>
        </w:rPr>
        <w:t>.</w:t>
      </w:r>
    </w:p>
    <w:p>
      <w:pPr>
        <w:spacing w:before="0"/>
        <w:ind w:left="141" w:right="0" w:firstLine="0"/>
        <w:jc w:val="left"/>
        <w:rPr>
          <w:sz w:val="20"/>
        </w:rPr>
      </w:pPr>
      <w:r>
        <w:rPr>
          <w:sz w:val="20"/>
        </w:rPr>
        <w:t>Shaluf,</w:t>
      </w:r>
      <w:r>
        <w:rPr>
          <w:spacing w:val="-2"/>
          <w:sz w:val="20"/>
        </w:rPr>
        <w:t> </w:t>
      </w:r>
      <w:r>
        <w:rPr>
          <w:sz w:val="20"/>
        </w:rPr>
        <w:t>I.,</w:t>
      </w:r>
      <w:r>
        <w:rPr>
          <w:spacing w:val="-2"/>
          <w:sz w:val="20"/>
        </w:rPr>
        <w:t> </w:t>
      </w:r>
      <w:r>
        <w:rPr>
          <w:sz w:val="20"/>
        </w:rPr>
        <w:t>Krir,</w:t>
      </w:r>
      <w:r>
        <w:rPr>
          <w:spacing w:val="-2"/>
          <w:sz w:val="20"/>
        </w:rPr>
        <w:t> </w:t>
      </w:r>
      <w:r>
        <w:rPr>
          <w:sz w:val="20"/>
        </w:rPr>
        <w:t>N.,</w:t>
      </w:r>
      <w:r>
        <w:rPr>
          <w:spacing w:val="-2"/>
          <w:sz w:val="20"/>
        </w:rPr>
        <w:t> </w:t>
      </w:r>
      <w:r>
        <w:rPr>
          <w:sz w:val="20"/>
        </w:rPr>
        <w:t>&amp; Sakal,</w:t>
      </w:r>
      <w:r>
        <w:rPr>
          <w:spacing w:val="-3"/>
          <w:sz w:val="20"/>
        </w:rPr>
        <w:t> </w:t>
      </w:r>
      <w:r>
        <w:rPr>
          <w:sz w:val="20"/>
        </w:rPr>
        <w:t>S.</w:t>
      </w:r>
      <w:r>
        <w:rPr>
          <w:spacing w:val="-2"/>
          <w:sz w:val="20"/>
        </w:rPr>
        <w:t> </w:t>
      </w:r>
      <w:r>
        <w:rPr>
          <w:sz w:val="20"/>
        </w:rPr>
        <w:t>(2024). </w:t>
      </w:r>
      <w:r>
        <w:rPr>
          <w:i/>
          <w:sz w:val="20"/>
        </w:rPr>
        <w:t>Evaluation</w:t>
      </w:r>
      <w:r>
        <w:rPr>
          <w:i/>
          <w:spacing w:val="-2"/>
          <w:sz w:val="20"/>
        </w:rPr>
        <w:t> </w:t>
      </w:r>
      <w:r>
        <w:rPr>
          <w:i/>
          <w:sz w:val="20"/>
        </w:rPr>
        <w:t>of</w:t>
      </w:r>
      <w:r>
        <w:rPr>
          <w:i/>
          <w:spacing w:val="-3"/>
          <w:sz w:val="20"/>
        </w:rPr>
        <w:t> </w:t>
      </w:r>
      <w:r>
        <w:rPr>
          <w:i/>
          <w:sz w:val="20"/>
        </w:rPr>
        <w:t>the</w:t>
      </w:r>
      <w:r>
        <w:rPr>
          <w:i/>
          <w:spacing w:val="-1"/>
          <w:sz w:val="20"/>
        </w:rPr>
        <w:t> </w:t>
      </w:r>
      <w:r>
        <w:rPr>
          <w:i/>
          <w:sz w:val="20"/>
        </w:rPr>
        <w:t>Domino</w:t>
      </w:r>
      <w:r>
        <w:rPr>
          <w:i/>
          <w:spacing w:val="-2"/>
          <w:sz w:val="20"/>
        </w:rPr>
        <w:t> </w:t>
      </w:r>
      <w:r>
        <w:rPr>
          <w:i/>
          <w:sz w:val="20"/>
        </w:rPr>
        <w:t>Effect</w:t>
      </w:r>
      <w:r>
        <w:rPr>
          <w:i/>
          <w:spacing w:val="-3"/>
          <w:sz w:val="20"/>
        </w:rPr>
        <w:t> </w:t>
      </w:r>
      <w:r>
        <w:rPr>
          <w:i/>
          <w:sz w:val="20"/>
        </w:rPr>
        <w:t>Caused</w:t>
      </w:r>
      <w:r>
        <w:rPr>
          <w:i/>
          <w:spacing w:val="-2"/>
          <w:sz w:val="20"/>
        </w:rPr>
        <w:t> </w:t>
      </w:r>
      <w:r>
        <w:rPr>
          <w:i/>
          <w:sz w:val="20"/>
        </w:rPr>
        <w:t>by</w:t>
      </w:r>
      <w:r>
        <w:rPr>
          <w:i/>
          <w:spacing w:val="-1"/>
          <w:sz w:val="20"/>
        </w:rPr>
        <w:t> </w:t>
      </w:r>
      <w:r>
        <w:rPr>
          <w:i/>
          <w:sz w:val="20"/>
        </w:rPr>
        <w:t>Pool</w:t>
      </w:r>
      <w:r>
        <w:rPr>
          <w:i/>
          <w:spacing w:val="-3"/>
          <w:sz w:val="20"/>
        </w:rPr>
        <w:t> </w:t>
      </w:r>
      <w:r>
        <w:rPr>
          <w:i/>
          <w:sz w:val="20"/>
        </w:rPr>
        <w:t>Fires</w:t>
      </w:r>
      <w:r>
        <w:rPr>
          <w:i/>
          <w:spacing w:val="-1"/>
          <w:sz w:val="20"/>
        </w:rPr>
        <w:t> </w:t>
      </w:r>
      <w:r>
        <w:rPr>
          <w:i/>
          <w:sz w:val="20"/>
        </w:rPr>
        <w:t>in</w:t>
      </w:r>
      <w:r>
        <w:rPr>
          <w:i/>
          <w:spacing w:val="-2"/>
          <w:sz w:val="20"/>
        </w:rPr>
        <w:t> </w:t>
      </w:r>
      <w:r>
        <w:rPr>
          <w:i/>
          <w:sz w:val="20"/>
        </w:rPr>
        <w:t>a</w:t>
      </w:r>
      <w:r>
        <w:rPr>
          <w:i/>
          <w:spacing w:val="-2"/>
          <w:sz w:val="20"/>
        </w:rPr>
        <w:t> </w:t>
      </w:r>
      <w:r>
        <w:rPr>
          <w:i/>
          <w:sz w:val="20"/>
        </w:rPr>
        <w:t>Tank</w:t>
      </w:r>
      <w:r>
        <w:rPr>
          <w:i/>
          <w:spacing w:val="-1"/>
          <w:sz w:val="20"/>
        </w:rPr>
        <w:t> </w:t>
      </w:r>
      <w:r>
        <w:rPr>
          <w:i/>
          <w:sz w:val="20"/>
        </w:rPr>
        <w:t>Farm </w:t>
      </w:r>
      <w:r>
        <w:rPr>
          <w:sz w:val="20"/>
        </w:rPr>
        <w:t>Utama, B., Suparta, W., &amp; Dulhadi, D. (2022). Analisis Awal Kebakaran Tangki 36 T-102 Pertalite Pada</w:t>
      </w:r>
    </w:p>
    <w:p>
      <w:pPr>
        <w:pStyle w:val="BodyText"/>
        <w:ind w:left="621" w:right="2380"/>
      </w:pPr>
      <w:r>
        <w:rPr/>
        <w:t>Kawasan</w:t>
      </w:r>
      <w:r>
        <w:rPr>
          <w:spacing w:val="-8"/>
        </w:rPr>
        <w:t> </w:t>
      </w:r>
      <w:r>
        <w:rPr/>
        <w:t>Refinery</w:t>
      </w:r>
      <w:r>
        <w:rPr>
          <w:spacing w:val="-3"/>
        </w:rPr>
        <w:t> </w:t>
      </w:r>
      <w:r>
        <w:rPr/>
        <w:t>Unit</w:t>
      </w:r>
      <w:r>
        <w:rPr>
          <w:spacing w:val="-4"/>
        </w:rPr>
        <w:t> </w:t>
      </w:r>
      <w:r>
        <w:rPr/>
        <w:t>Iv</w:t>
      </w:r>
      <w:r>
        <w:rPr>
          <w:spacing w:val="-3"/>
        </w:rPr>
        <w:t> </w:t>
      </w:r>
      <w:r>
        <w:rPr/>
        <w:t>Cilacap</w:t>
      </w:r>
      <w:r>
        <w:rPr>
          <w:spacing w:val="-1"/>
        </w:rPr>
        <w:t> </w:t>
      </w:r>
      <w:r>
        <w:rPr/>
        <w:t>–</w:t>
      </w:r>
      <w:r>
        <w:rPr>
          <w:spacing w:val="-3"/>
        </w:rPr>
        <w:t> </w:t>
      </w:r>
      <w:r>
        <w:rPr/>
        <w:t>Jawa</w:t>
      </w:r>
      <w:r>
        <w:rPr>
          <w:spacing w:val="-3"/>
        </w:rPr>
        <w:t> </w:t>
      </w:r>
      <w:r>
        <w:rPr/>
        <w:t>Tengah.</w:t>
      </w:r>
      <w:r>
        <w:rPr>
          <w:spacing w:val="-3"/>
        </w:rPr>
        <w:t> </w:t>
      </w:r>
      <w:r>
        <w:rPr>
          <w:i/>
        </w:rPr>
        <w:t>Kurvatek</w:t>
      </w:r>
      <w:r>
        <w:rPr/>
        <w:t>,</w:t>
      </w:r>
      <w:r>
        <w:rPr>
          <w:spacing w:val="-3"/>
        </w:rPr>
        <w:t> </w:t>
      </w:r>
      <w:r>
        <w:rPr>
          <w:i/>
        </w:rPr>
        <w:t>7</w:t>
      </w:r>
      <w:r>
        <w:rPr/>
        <w:t>(1),</w:t>
      </w:r>
      <w:r>
        <w:rPr>
          <w:spacing w:val="-3"/>
        </w:rPr>
        <w:t> </w:t>
      </w:r>
      <w:r>
        <w:rPr/>
        <w:t>1–12. </w:t>
      </w:r>
      <w:hyperlink r:id="rId8">
        <w:r>
          <w:rPr>
            <w:spacing w:val="-2"/>
          </w:rPr>
          <w:t>https://doi.org/10.33579/krvtk.v7i1.3129</w:t>
        </w:r>
      </w:hyperlink>
    </w:p>
    <w:p>
      <w:pPr>
        <w:spacing w:before="0"/>
        <w:ind w:left="141" w:right="0" w:firstLine="0"/>
        <w:jc w:val="left"/>
        <w:rPr>
          <w:sz w:val="20"/>
        </w:rPr>
      </w:pPr>
      <w:r>
        <w:rPr>
          <w:sz w:val="20"/>
        </w:rPr>
        <w:t>Yung,</w:t>
      </w:r>
      <w:r>
        <w:rPr>
          <w:spacing w:val="-2"/>
          <w:sz w:val="20"/>
        </w:rPr>
        <w:t> </w:t>
      </w:r>
      <w:r>
        <w:rPr>
          <w:sz w:val="20"/>
        </w:rPr>
        <w:t>D.</w:t>
      </w:r>
      <w:r>
        <w:rPr>
          <w:spacing w:val="-2"/>
          <w:sz w:val="20"/>
        </w:rPr>
        <w:t> </w:t>
      </w:r>
      <w:r>
        <w:rPr>
          <w:sz w:val="20"/>
        </w:rPr>
        <w:t>(2008). </w:t>
      </w:r>
      <w:r>
        <w:rPr>
          <w:i/>
          <w:sz w:val="20"/>
        </w:rPr>
        <w:t>Principles</w:t>
      </w:r>
      <w:r>
        <w:rPr>
          <w:i/>
          <w:spacing w:val="-1"/>
          <w:sz w:val="20"/>
        </w:rPr>
        <w:t> </w:t>
      </w:r>
      <w:r>
        <w:rPr>
          <w:i/>
          <w:sz w:val="20"/>
        </w:rPr>
        <w:t>of</w:t>
      </w:r>
      <w:r>
        <w:rPr>
          <w:i/>
          <w:spacing w:val="-2"/>
          <w:sz w:val="20"/>
        </w:rPr>
        <w:t> </w:t>
      </w:r>
      <w:r>
        <w:rPr>
          <w:i/>
          <w:sz w:val="20"/>
        </w:rPr>
        <w:t>Fire</w:t>
      </w:r>
      <w:r>
        <w:rPr>
          <w:i/>
          <w:spacing w:val="-1"/>
          <w:sz w:val="20"/>
        </w:rPr>
        <w:t> </w:t>
      </w:r>
      <w:r>
        <w:rPr>
          <w:i/>
          <w:sz w:val="20"/>
        </w:rPr>
        <w:t>Risk Assessment</w:t>
      </w:r>
      <w:r>
        <w:rPr>
          <w:i/>
          <w:spacing w:val="-3"/>
          <w:sz w:val="20"/>
        </w:rPr>
        <w:t> </w:t>
      </w:r>
      <w:r>
        <w:rPr>
          <w:i/>
          <w:sz w:val="20"/>
        </w:rPr>
        <w:t>in</w:t>
      </w:r>
      <w:r>
        <w:rPr>
          <w:i/>
          <w:spacing w:val="-1"/>
          <w:sz w:val="20"/>
        </w:rPr>
        <w:t> </w:t>
      </w:r>
      <w:r>
        <w:rPr>
          <w:i/>
          <w:spacing w:val="-2"/>
          <w:sz w:val="20"/>
        </w:rPr>
        <w:t>Buildings</w:t>
      </w:r>
      <w:r>
        <w:rPr>
          <w:spacing w:val="-2"/>
          <w:sz w:val="20"/>
        </w:rPr>
        <w:t>.</w:t>
      </w:r>
    </w:p>
    <w:sectPr>
      <w:pgSz w:w="11910" w:h="16840"/>
      <w:pgMar w:header="960" w:footer="0" w:top="1820" w:bottom="280" w:left="1559"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w:altName w:val="Cambria"/>
    <w:charset w:val="1"/>
    <w:family w:val="roman"/>
    <w:pitch w:val="variable"/>
  </w:font>
  <w:font w:name="Cambria Math">
    <w:altName w:val="Cambria Math"/>
    <w:charset w:val="1"/>
    <w:family w:val="roman"/>
    <w:pitch w:val="variable"/>
  </w:font>
  <w:font w:name="Verdana">
    <w:altName w:val="Verdana"/>
    <w:charset w:val="1"/>
    <w:family w:val="swiss"/>
    <w:pitch w:val="variable"/>
  </w:font>
  <w:font w:name="Tahoma">
    <w:altName w:val="Tahom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pPr>
    <w:r>
      <w:rPr/>
      <mc:AlternateContent>
        <mc:Choice Requires="wps">
          <w:drawing>
            <wp:anchor distT="0" distB="0" distL="0" distR="0" allowOverlap="1" layoutInCell="1" locked="0" behindDoc="1" simplePos="0" relativeHeight="487119360">
              <wp:simplePos x="0" y="0"/>
              <wp:positionH relativeFrom="page">
                <wp:posOffset>1067117</wp:posOffset>
              </wp:positionH>
              <wp:positionV relativeFrom="page">
                <wp:posOffset>597175</wp:posOffset>
              </wp:positionV>
              <wp:extent cx="3710940" cy="3124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710940" cy="312420"/>
                      </a:xfrm>
                      <a:prstGeom prst="rect">
                        <a:avLst/>
                      </a:prstGeom>
                    </wps:spPr>
                    <wps:txbx>
                      <w:txbxContent>
                        <w:p>
                          <w:pPr>
                            <w:spacing w:before="15"/>
                            <w:ind w:left="20" w:right="0" w:firstLine="0"/>
                            <w:jc w:val="left"/>
                            <w:rPr>
                              <w:rFonts w:ascii="Tahoma"/>
                              <w:b/>
                              <w:sz w:val="18"/>
                            </w:rPr>
                          </w:pPr>
                          <w:r>
                            <w:rPr>
                              <w:rFonts w:ascii="Tahoma"/>
                              <w:b/>
                              <w:spacing w:val="-8"/>
                              <w:sz w:val="18"/>
                            </w:rPr>
                            <w:t>10</w:t>
                          </w:r>
                          <w:r>
                            <w:rPr>
                              <w:rFonts w:ascii="Tahoma"/>
                              <w:b/>
                              <w:spacing w:val="-8"/>
                              <w:position w:val="6"/>
                              <w:sz w:val="11"/>
                            </w:rPr>
                            <w:t>th</w:t>
                          </w:r>
                          <w:r>
                            <w:rPr>
                              <w:rFonts w:ascii="Tahoma"/>
                              <w:b/>
                              <w:spacing w:val="17"/>
                              <w:position w:val="6"/>
                              <w:sz w:val="11"/>
                            </w:rPr>
                            <w:t> </w:t>
                          </w:r>
                          <w:r>
                            <w:rPr>
                              <w:rFonts w:ascii="Tahoma"/>
                              <w:b/>
                              <w:spacing w:val="-8"/>
                              <w:sz w:val="18"/>
                            </w:rPr>
                            <w:t>CONFERENCE</w:t>
                          </w:r>
                          <w:r>
                            <w:rPr>
                              <w:rFonts w:ascii="Tahoma"/>
                              <w:b/>
                              <w:spacing w:val="-1"/>
                              <w:sz w:val="18"/>
                            </w:rPr>
                            <w:t> </w:t>
                          </w:r>
                          <w:r>
                            <w:rPr>
                              <w:rFonts w:ascii="Tahoma"/>
                              <w:b/>
                              <w:spacing w:val="-8"/>
                              <w:sz w:val="18"/>
                            </w:rPr>
                            <w:t>ON</w:t>
                          </w:r>
                          <w:r>
                            <w:rPr>
                              <w:rFonts w:ascii="Tahoma"/>
                              <w:b/>
                              <w:spacing w:val="-2"/>
                              <w:sz w:val="18"/>
                            </w:rPr>
                            <w:t> </w:t>
                          </w:r>
                          <w:r>
                            <w:rPr>
                              <w:rFonts w:ascii="Tahoma"/>
                              <w:b/>
                              <w:spacing w:val="-8"/>
                              <w:sz w:val="18"/>
                            </w:rPr>
                            <w:t>SAFETY</w:t>
                          </w:r>
                          <w:r>
                            <w:rPr>
                              <w:rFonts w:ascii="Tahoma"/>
                              <w:b/>
                              <w:spacing w:val="-3"/>
                              <w:sz w:val="18"/>
                            </w:rPr>
                            <w:t> </w:t>
                          </w:r>
                          <w:r>
                            <w:rPr>
                              <w:rFonts w:ascii="Tahoma"/>
                              <w:b/>
                              <w:spacing w:val="-8"/>
                              <w:sz w:val="18"/>
                            </w:rPr>
                            <w:t>ENGINEERING</w:t>
                          </w:r>
                          <w:r>
                            <w:rPr>
                              <w:rFonts w:ascii="Tahoma"/>
                              <w:b/>
                              <w:spacing w:val="-4"/>
                              <w:sz w:val="18"/>
                            </w:rPr>
                            <w:t> </w:t>
                          </w:r>
                          <w:r>
                            <w:rPr>
                              <w:rFonts w:ascii="Tahoma"/>
                              <w:b/>
                              <w:spacing w:val="-8"/>
                              <w:sz w:val="18"/>
                            </w:rPr>
                            <w:t>AND</w:t>
                          </w:r>
                          <w:r>
                            <w:rPr>
                              <w:rFonts w:ascii="Tahoma"/>
                              <w:b/>
                              <w:spacing w:val="-4"/>
                              <w:sz w:val="18"/>
                            </w:rPr>
                            <w:t> </w:t>
                          </w:r>
                          <w:r>
                            <w:rPr>
                              <w:rFonts w:ascii="Tahoma"/>
                              <w:b/>
                              <w:spacing w:val="-8"/>
                              <w:sz w:val="18"/>
                            </w:rPr>
                            <w:t>ITS</w:t>
                          </w:r>
                          <w:r>
                            <w:rPr>
                              <w:rFonts w:ascii="Tahoma"/>
                              <w:b/>
                              <w:spacing w:val="2"/>
                              <w:sz w:val="18"/>
                            </w:rPr>
                            <w:t> </w:t>
                          </w:r>
                          <w:r>
                            <w:rPr>
                              <w:rFonts w:ascii="Tahoma"/>
                              <w:b/>
                              <w:spacing w:val="-8"/>
                              <w:sz w:val="18"/>
                            </w:rPr>
                            <w:t>APPLICATION</w:t>
                          </w:r>
                        </w:p>
                        <w:p>
                          <w:pPr>
                            <w:spacing w:before="8"/>
                            <w:ind w:left="20" w:right="0" w:firstLine="0"/>
                            <w:jc w:val="left"/>
                            <w:rPr>
                              <w:rFonts w:ascii="Tahoma"/>
                              <w:b/>
                              <w:sz w:val="18"/>
                            </w:rPr>
                          </w:pPr>
                          <w:r>
                            <w:rPr>
                              <w:rFonts w:ascii="Tahoma"/>
                              <w:b/>
                              <w:w w:val="90"/>
                              <w:sz w:val="18"/>
                            </w:rPr>
                            <w:t>September</w:t>
                          </w:r>
                          <w:r>
                            <w:rPr>
                              <w:rFonts w:ascii="Tahoma"/>
                              <w:b/>
                              <w:spacing w:val="-3"/>
                              <w:w w:val="90"/>
                              <w:sz w:val="18"/>
                            </w:rPr>
                            <w:t> </w:t>
                          </w:r>
                          <w:r>
                            <w:rPr>
                              <w:rFonts w:ascii="Tahoma"/>
                              <w:b/>
                              <w:spacing w:val="-4"/>
                              <w:sz w:val="18"/>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4.025002pt;margin-top:47.021698pt;width:292.2pt;height:24.6pt;mso-position-horizontal-relative:page;mso-position-vertical-relative:page;z-index:-16197120" type="#_x0000_t202" id="docshape1" filled="false" stroked="false">
              <v:textbox inset="0,0,0,0">
                <w:txbxContent>
                  <w:p>
                    <w:pPr>
                      <w:spacing w:before="15"/>
                      <w:ind w:left="20" w:right="0" w:firstLine="0"/>
                      <w:jc w:val="left"/>
                      <w:rPr>
                        <w:rFonts w:ascii="Tahoma"/>
                        <w:b/>
                        <w:sz w:val="18"/>
                      </w:rPr>
                    </w:pPr>
                    <w:r>
                      <w:rPr>
                        <w:rFonts w:ascii="Tahoma"/>
                        <w:b/>
                        <w:spacing w:val="-8"/>
                        <w:sz w:val="18"/>
                      </w:rPr>
                      <w:t>10</w:t>
                    </w:r>
                    <w:r>
                      <w:rPr>
                        <w:rFonts w:ascii="Tahoma"/>
                        <w:b/>
                        <w:spacing w:val="-8"/>
                        <w:position w:val="6"/>
                        <w:sz w:val="11"/>
                      </w:rPr>
                      <w:t>th</w:t>
                    </w:r>
                    <w:r>
                      <w:rPr>
                        <w:rFonts w:ascii="Tahoma"/>
                        <w:b/>
                        <w:spacing w:val="17"/>
                        <w:position w:val="6"/>
                        <w:sz w:val="11"/>
                      </w:rPr>
                      <w:t> </w:t>
                    </w:r>
                    <w:r>
                      <w:rPr>
                        <w:rFonts w:ascii="Tahoma"/>
                        <w:b/>
                        <w:spacing w:val="-8"/>
                        <w:sz w:val="18"/>
                      </w:rPr>
                      <w:t>CONFERENCE</w:t>
                    </w:r>
                    <w:r>
                      <w:rPr>
                        <w:rFonts w:ascii="Tahoma"/>
                        <w:b/>
                        <w:spacing w:val="-1"/>
                        <w:sz w:val="18"/>
                      </w:rPr>
                      <w:t> </w:t>
                    </w:r>
                    <w:r>
                      <w:rPr>
                        <w:rFonts w:ascii="Tahoma"/>
                        <w:b/>
                        <w:spacing w:val="-8"/>
                        <w:sz w:val="18"/>
                      </w:rPr>
                      <w:t>ON</w:t>
                    </w:r>
                    <w:r>
                      <w:rPr>
                        <w:rFonts w:ascii="Tahoma"/>
                        <w:b/>
                        <w:spacing w:val="-2"/>
                        <w:sz w:val="18"/>
                      </w:rPr>
                      <w:t> </w:t>
                    </w:r>
                    <w:r>
                      <w:rPr>
                        <w:rFonts w:ascii="Tahoma"/>
                        <w:b/>
                        <w:spacing w:val="-8"/>
                        <w:sz w:val="18"/>
                      </w:rPr>
                      <w:t>SAFETY</w:t>
                    </w:r>
                    <w:r>
                      <w:rPr>
                        <w:rFonts w:ascii="Tahoma"/>
                        <w:b/>
                        <w:spacing w:val="-3"/>
                        <w:sz w:val="18"/>
                      </w:rPr>
                      <w:t> </w:t>
                    </w:r>
                    <w:r>
                      <w:rPr>
                        <w:rFonts w:ascii="Tahoma"/>
                        <w:b/>
                        <w:spacing w:val="-8"/>
                        <w:sz w:val="18"/>
                      </w:rPr>
                      <w:t>ENGINEERING</w:t>
                    </w:r>
                    <w:r>
                      <w:rPr>
                        <w:rFonts w:ascii="Tahoma"/>
                        <w:b/>
                        <w:spacing w:val="-4"/>
                        <w:sz w:val="18"/>
                      </w:rPr>
                      <w:t> </w:t>
                    </w:r>
                    <w:r>
                      <w:rPr>
                        <w:rFonts w:ascii="Tahoma"/>
                        <w:b/>
                        <w:spacing w:val="-8"/>
                        <w:sz w:val="18"/>
                      </w:rPr>
                      <w:t>AND</w:t>
                    </w:r>
                    <w:r>
                      <w:rPr>
                        <w:rFonts w:ascii="Tahoma"/>
                        <w:b/>
                        <w:spacing w:val="-4"/>
                        <w:sz w:val="18"/>
                      </w:rPr>
                      <w:t> </w:t>
                    </w:r>
                    <w:r>
                      <w:rPr>
                        <w:rFonts w:ascii="Tahoma"/>
                        <w:b/>
                        <w:spacing w:val="-8"/>
                        <w:sz w:val="18"/>
                      </w:rPr>
                      <w:t>ITS</w:t>
                    </w:r>
                    <w:r>
                      <w:rPr>
                        <w:rFonts w:ascii="Tahoma"/>
                        <w:b/>
                        <w:spacing w:val="2"/>
                        <w:sz w:val="18"/>
                      </w:rPr>
                      <w:t> </w:t>
                    </w:r>
                    <w:r>
                      <w:rPr>
                        <w:rFonts w:ascii="Tahoma"/>
                        <w:b/>
                        <w:spacing w:val="-8"/>
                        <w:sz w:val="18"/>
                      </w:rPr>
                      <w:t>APPLICATION</w:t>
                    </w:r>
                  </w:p>
                  <w:p>
                    <w:pPr>
                      <w:spacing w:before="8"/>
                      <w:ind w:left="20" w:right="0" w:firstLine="0"/>
                      <w:jc w:val="left"/>
                      <w:rPr>
                        <w:rFonts w:ascii="Tahoma"/>
                        <w:b/>
                        <w:sz w:val="18"/>
                      </w:rPr>
                    </w:pPr>
                    <w:r>
                      <w:rPr>
                        <w:rFonts w:ascii="Tahoma"/>
                        <w:b/>
                        <w:w w:val="90"/>
                        <w:sz w:val="18"/>
                      </w:rPr>
                      <w:t>September</w:t>
                    </w:r>
                    <w:r>
                      <w:rPr>
                        <w:rFonts w:ascii="Tahoma"/>
                        <w:b/>
                        <w:spacing w:val="-3"/>
                        <w:w w:val="90"/>
                        <w:sz w:val="18"/>
                      </w:rPr>
                      <w:t> </w:t>
                    </w:r>
                    <w:r>
                      <w:rPr>
                        <w:rFonts w:ascii="Tahoma"/>
                        <w:b/>
                        <w:spacing w:val="-4"/>
                        <w:sz w:val="18"/>
                      </w:rPr>
                      <w:t>2026</w:t>
                    </w:r>
                  </w:p>
                </w:txbxContent>
              </v:textbox>
              <w10:wrap type="none"/>
            </v:shape>
          </w:pict>
        </mc:Fallback>
      </mc:AlternateContent>
    </w:r>
    <w:r>
      <w:rPr/>
      <mc:AlternateContent>
        <mc:Choice Requires="wps">
          <w:drawing>
            <wp:anchor distT="0" distB="0" distL="0" distR="0" allowOverlap="1" layoutInCell="1" locked="0" behindDoc="1" simplePos="0" relativeHeight="487119872">
              <wp:simplePos x="0" y="0"/>
              <wp:positionH relativeFrom="page">
                <wp:posOffset>5549425</wp:posOffset>
              </wp:positionH>
              <wp:positionV relativeFrom="page">
                <wp:posOffset>597175</wp:posOffset>
              </wp:positionV>
              <wp:extent cx="1213485" cy="16954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13485" cy="169545"/>
                      </a:xfrm>
                      <a:prstGeom prst="rect">
                        <a:avLst/>
                      </a:prstGeom>
                    </wps:spPr>
                    <wps:txbx>
                      <w:txbxContent>
                        <w:p>
                          <w:pPr>
                            <w:spacing w:before="15"/>
                            <w:ind w:left="20" w:right="0" w:firstLine="0"/>
                            <w:jc w:val="left"/>
                            <w:rPr>
                              <w:rFonts w:ascii="Tahoma"/>
                              <w:b/>
                              <w:sz w:val="18"/>
                            </w:rPr>
                          </w:pPr>
                          <w:r>
                            <w:rPr>
                              <w:rFonts w:ascii="Tahoma"/>
                              <w:b/>
                              <w:w w:val="85"/>
                              <w:sz w:val="18"/>
                            </w:rPr>
                            <w:t>ISSN</w:t>
                          </w:r>
                          <w:r>
                            <w:rPr>
                              <w:rFonts w:ascii="Tahoma"/>
                              <w:b/>
                              <w:spacing w:val="27"/>
                              <w:sz w:val="18"/>
                            </w:rPr>
                            <w:t> </w:t>
                          </w:r>
                          <w:r>
                            <w:rPr>
                              <w:rFonts w:ascii="Tahoma"/>
                              <w:b/>
                              <w:w w:val="85"/>
                              <w:sz w:val="18"/>
                            </w:rPr>
                            <w:t>No.2581-1770</w:t>
                          </w:r>
                          <w:r>
                            <w:rPr>
                              <w:rFonts w:ascii="Tahoma"/>
                              <w:b/>
                              <w:spacing w:val="28"/>
                              <w:sz w:val="18"/>
                            </w:rPr>
                            <w:t> </w:t>
                          </w:r>
                          <w:r>
                            <w:rPr>
                              <w:rFonts w:ascii="Tahoma"/>
                              <w:b/>
                              <w:spacing w:val="-5"/>
                              <w:w w:val="85"/>
                              <w:sz w:val="18"/>
                            </w:rPr>
                            <w:t>10</w:t>
                          </w:r>
                        </w:p>
                      </w:txbxContent>
                    </wps:txbx>
                    <wps:bodyPr wrap="square" lIns="0" tIns="0" rIns="0" bIns="0" rtlCol="0">
                      <a:noAutofit/>
                    </wps:bodyPr>
                  </wps:wsp>
                </a:graphicData>
              </a:graphic>
            </wp:anchor>
          </w:drawing>
        </mc:Choice>
        <mc:Fallback>
          <w:pict>
            <v:shape style="position:absolute;margin-left:436.962677pt;margin-top:47.021698pt;width:95.55pt;height:13.35pt;mso-position-horizontal-relative:page;mso-position-vertical-relative:page;z-index:-16196608" type="#_x0000_t202" id="docshape2" filled="false" stroked="false">
              <v:textbox inset="0,0,0,0">
                <w:txbxContent>
                  <w:p>
                    <w:pPr>
                      <w:spacing w:before="15"/>
                      <w:ind w:left="20" w:right="0" w:firstLine="0"/>
                      <w:jc w:val="left"/>
                      <w:rPr>
                        <w:rFonts w:ascii="Tahoma"/>
                        <w:b/>
                        <w:sz w:val="18"/>
                      </w:rPr>
                    </w:pPr>
                    <w:r>
                      <w:rPr>
                        <w:rFonts w:ascii="Tahoma"/>
                        <w:b/>
                        <w:w w:val="85"/>
                        <w:sz w:val="18"/>
                      </w:rPr>
                      <w:t>ISSN</w:t>
                    </w:r>
                    <w:r>
                      <w:rPr>
                        <w:rFonts w:ascii="Tahoma"/>
                        <w:b/>
                        <w:spacing w:val="27"/>
                        <w:sz w:val="18"/>
                      </w:rPr>
                      <w:t> </w:t>
                    </w:r>
                    <w:r>
                      <w:rPr>
                        <w:rFonts w:ascii="Tahoma"/>
                        <w:b/>
                        <w:w w:val="85"/>
                        <w:sz w:val="18"/>
                      </w:rPr>
                      <w:t>No.2581-1770</w:t>
                    </w:r>
                    <w:r>
                      <w:rPr>
                        <w:rFonts w:ascii="Tahoma"/>
                        <w:b/>
                        <w:spacing w:val="28"/>
                        <w:sz w:val="18"/>
                      </w:rPr>
                      <w:t> </w:t>
                    </w:r>
                    <w:r>
                      <w:rPr>
                        <w:rFonts w:ascii="Tahoma"/>
                        <w:b/>
                        <w:spacing w:val="-5"/>
                        <w:w w:val="85"/>
                        <w:sz w:val="18"/>
                      </w:rPr>
                      <w:t>10</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47" w:hanging="406"/>
        <w:jc w:val="left"/>
      </w:pPr>
      <w:rPr>
        <w:rFonts w:hint="default" w:ascii="Times New Roman" w:hAnsi="Times New Roman" w:eastAsia="Times New Roman" w:cs="Times New Roman"/>
        <w:b/>
        <w:bCs/>
        <w:i w:val="0"/>
        <w:iCs w:val="0"/>
        <w:spacing w:val="0"/>
        <w:w w:val="100"/>
        <w:sz w:val="20"/>
        <w:szCs w:val="20"/>
        <w:lang w:val="id" w:eastAsia="en-US" w:bidi="ar-SA"/>
      </w:rPr>
    </w:lvl>
    <w:lvl w:ilvl="1">
      <w:start w:val="1"/>
      <w:numFmt w:val="lowerLetter"/>
      <w:lvlText w:val="%2."/>
      <w:lvlJc w:val="left"/>
      <w:pPr>
        <w:ind w:left="862" w:hanging="360"/>
        <w:jc w:val="left"/>
      </w:pPr>
      <w:rPr>
        <w:rFonts w:hint="default" w:ascii="Times New Roman" w:hAnsi="Times New Roman" w:eastAsia="Times New Roman" w:cs="Times New Roman"/>
        <w:b w:val="0"/>
        <w:bCs w:val="0"/>
        <w:i w:val="0"/>
        <w:iCs w:val="0"/>
        <w:spacing w:val="0"/>
        <w:w w:val="100"/>
        <w:sz w:val="20"/>
        <w:szCs w:val="20"/>
        <w:lang w:val="id" w:eastAsia="en-US" w:bidi="ar-SA"/>
      </w:rPr>
    </w:lvl>
    <w:lvl w:ilvl="2">
      <w:start w:val="0"/>
      <w:numFmt w:val="bullet"/>
      <w:lvlText w:val="•"/>
      <w:lvlJc w:val="left"/>
      <w:pPr>
        <w:ind w:left="1803" w:hanging="360"/>
      </w:pPr>
      <w:rPr>
        <w:rFonts w:hint="default"/>
        <w:lang w:val="id" w:eastAsia="en-US" w:bidi="ar-SA"/>
      </w:rPr>
    </w:lvl>
    <w:lvl w:ilvl="3">
      <w:start w:val="0"/>
      <w:numFmt w:val="bullet"/>
      <w:lvlText w:val="•"/>
      <w:lvlJc w:val="left"/>
      <w:pPr>
        <w:ind w:left="2747" w:hanging="360"/>
      </w:pPr>
      <w:rPr>
        <w:rFonts w:hint="default"/>
        <w:lang w:val="id" w:eastAsia="en-US" w:bidi="ar-SA"/>
      </w:rPr>
    </w:lvl>
    <w:lvl w:ilvl="4">
      <w:start w:val="0"/>
      <w:numFmt w:val="bullet"/>
      <w:lvlText w:val="•"/>
      <w:lvlJc w:val="left"/>
      <w:pPr>
        <w:ind w:left="3691" w:hanging="360"/>
      </w:pPr>
      <w:rPr>
        <w:rFonts w:hint="default"/>
        <w:lang w:val="id" w:eastAsia="en-US" w:bidi="ar-SA"/>
      </w:rPr>
    </w:lvl>
    <w:lvl w:ilvl="5">
      <w:start w:val="0"/>
      <w:numFmt w:val="bullet"/>
      <w:lvlText w:val="•"/>
      <w:lvlJc w:val="left"/>
      <w:pPr>
        <w:ind w:left="4635" w:hanging="360"/>
      </w:pPr>
      <w:rPr>
        <w:rFonts w:hint="default"/>
        <w:lang w:val="id" w:eastAsia="en-US" w:bidi="ar-SA"/>
      </w:rPr>
    </w:lvl>
    <w:lvl w:ilvl="6">
      <w:start w:val="0"/>
      <w:numFmt w:val="bullet"/>
      <w:lvlText w:val="•"/>
      <w:lvlJc w:val="left"/>
      <w:pPr>
        <w:ind w:left="5578" w:hanging="360"/>
      </w:pPr>
      <w:rPr>
        <w:rFonts w:hint="default"/>
        <w:lang w:val="id" w:eastAsia="en-US" w:bidi="ar-SA"/>
      </w:rPr>
    </w:lvl>
    <w:lvl w:ilvl="7">
      <w:start w:val="0"/>
      <w:numFmt w:val="bullet"/>
      <w:lvlText w:val="•"/>
      <w:lvlJc w:val="left"/>
      <w:pPr>
        <w:ind w:left="6522" w:hanging="360"/>
      </w:pPr>
      <w:rPr>
        <w:rFonts w:hint="default"/>
        <w:lang w:val="id" w:eastAsia="en-US" w:bidi="ar-SA"/>
      </w:rPr>
    </w:lvl>
    <w:lvl w:ilvl="8">
      <w:start w:val="0"/>
      <w:numFmt w:val="bullet"/>
      <w:lvlText w:val="•"/>
      <w:lvlJc w:val="left"/>
      <w:pPr>
        <w:ind w:left="7466" w:hanging="360"/>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141"/>
    </w:pPr>
    <w:rPr>
      <w:rFonts w:ascii="Times New Roman" w:hAnsi="Times New Roman" w:eastAsia="Times New Roman" w:cs="Times New Roman"/>
      <w:sz w:val="20"/>
      <w:szCs w:val="20"/>
      <w:lang w:val="id" w:eastAsia="en-US" w:bidi="ar-SA"/>
    </w:rPr>
  </w:style>
  <w:style w:styleId="Heading1" w:type="paragraph">
    <w:name w:val="Heading 1"/>
    <w:basedOn w:val="Normal"/>
    <w:uiPriority w:val="1"/>
    <w:qFormat/>
    <w:pPr>
      <w:spacing w:line="274" w:lineRule="exact"/>
      <w:ind w:left="8" w:right="9"/>
      <w:jc w:val="center"/>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ind w:left="566" w:hanging="425"/>
      <w:outlineLvl w:val="2"/>
    </w:pPr>
    <w:rPr>
      <w:rFonts w:ascii="Times New Roman" w:hAnsi="Times New Roman" w:eastAsia="Times New Roman" w:cs="Times New Roman"/>
      <w:b/>
      <w:bCs/>
      <w:sz w:val="20"/>
      <w:szCs w:val="20"/>
      <w:lang w:val="id" w:eastAsia="en-US" w:bidi="ar-SA"/>
    </w:rPr>
  </w:style>
  <w:style w:styleId="Heading3" w:type="paragraph">
    <w:name w:val="Heading 3"/>
    <w:basedOn w:val="Normal"/>
    <w:uiPriority w:val="1"/>
    <w:qFormat/>
    <w:pPr>
      <w:ind w:left="141"/>
      <w:outlineLvl w:val="3"/>
    </w:pPr>
    <w:rPr>
      <w:rFonts w:ascii="Times New Roman" w:hAnsi="Times New Roman" w:eastAsia="Times New Roman" w:cs="Times New Roman"/>
      <w:b/>
      <w:bCs/>
      <w:i/>
      <w:iCs/>
      <w:sz w:val="20"/>
      <w:szCs w:val="20"/>
      <w:lang w:val="id" w:eastAsia="en-US" w:bidi="ar-SA"/>
    </w:rPr>
  </w:style>
  <w:style w:styleId="ListParagraph" w:type="paragraph">
    <w:name w:val="List Paragraph"/>
    <w:basedOn w:val="Normal"/>
    <w:uiPriority w:val="1"/>
    <w:qFormat/>
    <w:pPr>
      <w:spacing w:before="1"/>
      <w:ind w:left="566" w:hanging="425"/>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mailto:ashari.luqman@ppns.ac.id" TargetMode="External"/><Relationship Id="rId7" Type="http://schemas.openxmlformats.org/officeDocument/2006/relationships/hyperlink" Target="https://doi.org/10.1016/j.proeng.2017.12.136" TargetMode="External"/><Relationship Id="rId8" Type="http://schemas.openxmlformats.org/officeDocument/2006/relationships/hyperlink" Target="https://doi.org/10.33579/krvtk.v7i1.3129"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Anggita Puspa W</dc:creator>
  <dcterms:created xsi:type="dcterms:W3CDTF">2026-09-09T12:29:29Z</dcterms:created>
  <dcterms:modified xsi:type="dcterms:W3CDTF">2026-09-09T12:29:29Z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2026-09-09T00:00:00Z</vt:filetime>
  </property>
  <property fmtid="{D5CDD505-2E9C-101B-9397-08002B2CF9AE}" pid="4" name="Creator">
    <vt:lpwstr>Microsoft Word</vt:lpwstr>
  </property>
  <property fmtid="{D5CDD505-2E9C-101B-9397-08002B2CF9AE}" pid="5" name="LastSaved">
    <vt:filetime>2026-09-09T00:00:00Z</vt:filetime>
  </property>
</Properties>
</file>